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D950DA" w:rsidP="00BB7458">
      <w:pPr>
        <w:spacing w:after="0" w:line="240" w:lineRule="auto"/>
        <w:jc w:val="center"/>
        <w:rPr>
          <w:rFonts w:ascii="Times New Roman" w:hAnsi="Times New Roman" w:cs="Times New Roman"/>
          <w:b/>
          <w:sz w:val="36"/>
          <w:szCs w:val="36"/>
          <w:lang w:val="uk-UA"/>
        </w:rPr>
      </w:pPr>
      <w:proofErr w:type="spellStart"/>
      <w:r>
        <w:rPr>
          <w:rFonts w:ascii="Times New Roman" w:hAnsi="Times New Roman" w:cs="Times New Roman"/>
          <w:b/>
          <w:sz w:val="36"/>
          <w:szCs w:val="36"/>
          <w:lang w:val="uk-UA"/>
        </w:rPr>
        <w:t>Єлиховицького</w:t>
      </w:r>
      <w:proofErr w:type="spellEnd"/>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Pr>
          <w:rFonts w:ascii="Times New Roman" w:hAnsi="Times New Roman" w:cs="Times New Roman"/>
          <w:b/>
          <w:sz w:val="36"/>
          <w:szCs w:val="36"/>
          <w:lang w:val="uk-UA"/>
        </w:rPr>
        <w:t>Дивосвіт</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D950DA" w:rsidP="004D1C75">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Єлиховицький</w:t>
      </w:r>
      <w:proofErr w:type="spellEnd"/>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Pr>
          <w:rFonts w:ascii="Times New Roman" w:hAnsi="Times New Roman" w:cs="Times New Roman"/>
          <w:sz w:val="26"/>
          <w:szCs w:val="26"/>
          <w:lang w:val="uk-UA"/>
        </w:rPr>
        <w:t>Дивосвіт</w:t>
      </w:r>
      <w:r w:rsidR="000B064A" w:rsidRPr="008F225B">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proofErr w:type="spellStart"/>
      <w:r w:rsidR="00D950DA">
        <w:rPr>
          <w:rFonts w:ascii="Times New Roman" w:hAnsi="Times New Roman" w:cs="Times New Roman"/>
          <w:b/>
          <w:color w:val="auto"/>
          <w:sz w:val="26"/>
          <w:szCs w:val="26"/>
        </w:rPr>
        <w:t>Єлиховицький</w:t>
      </w:r>
      <w:proofErr w:type="spellEnd"/>
      <w:r w:rsidRPr="008F225B">
        <w:rPr>
          <w:rFonts w:ascii="Times New Roman" w:hAnsi="Times New Roman" w:cs="Times New Roman"/>
          <w:b/>
          <w:color w:val="auto"/>
          <w:sz w:val="26"/>
          <w:szCs w:val="26"/>
        </w:rPr>
        <w:t xml:space="preserve"> заклад дошкільної освіти</w:t>
      </w:r>
      <w:r w:rsidR="000B064A" w:rsidRPr="008F225B">
        <w:rPr>
          <w:rFonts w:ascii="Times New Roman" w:hAnsi="Times New Roman" w:cs="Times New Roman"/>
          <w:b/>
          <w:color w:val="auto"/>
          <w:sz w:val="26"/>
          <w:szCs w:val="26"/>
        </w:rPr>
        <w:t xml:space="preserve"> «</w:t>
      </w:r>
      <w:r w:rsidR="00D950DA">
        <w:rPr>
          <w:rFonts w:ascii="Times New Roman" w:hAnsi="Times New Roman" w:cs="Times New Roman"/>
          <w:b/>
          <w:color w:val="auto"/>
          <w:sz w:val="26"/>
          <w:szCs w:val="26"/>
        </w:rPr>
        <w:t>Дивосвіт</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proofErr w:type="spellStart"/>
      <w:r w:rsidR="00D950DA">
        <w:rPr>
          <w:rFonts w:ascii="Times New Roman" w:hAnsi="Times New Roman" w:cs="Times New Roman"/>
          <w:b/>
          <w:color w:val="auto"/>
          <w:sz w:val="26"/>
          <w:szCs w:val="26"/>
        </w:rPr>
        <w:t>Єлиховицький</w:t>
      </w:r>
      <w:proofErr w:type="spellEnd"/>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 «</w:t>
      </w:r>
      <w:r w:rsidR="00D950DA">
        <w:rPr>
          <w:rFonts w:ascii="Times New Roman" w:hAnsi="Times New Roman" w:cs="Times New Roman"/>
          <w:b/>
          <w:color w:val="auto"/>
          <w:sz w:val="26"/>
          <w:szCs w:val="26"/>
        </w:rPr>
        <w:t>Дивосвіт</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8F225B" w:rsidRPr="008F225B">
        <w:rPr>
          <w:rFonts w:ascii="Times New Roman" w:hAnsi="Times New Roman" w:cs="Times New Roman"/>
          <w:b/>
          <w:sz w:val="26"/>
          <w:szCs w:val="26"/>
          <w:lang w:val="uk-UA"/>
        </w:rPr>
        <w:t>с</w:t>
      </w:r>
      <w:r w:rsidR="00D950DA">
        <w:rPr>
          <w:rFonts w:ascii="Times New Roman" w:hAnsi="Times New Roman" w:cs="Times New Roman"/>
          <w:b/>
          <w:sz w:val="26"/>
          <w:szCs w:val="26"/>
          <w:lang w:val="uk-UA"/>
        </w:rPr>
        <w:t>. </w:t>
      </w:r>
      <w:bookmarkStart w:id="0" w:name="_GoBack"/>
      <w:bookmarkEnd w:id="0"/>
      <w:proofErr w:type="spellStart"/>
      <w:r w:rsidR="00D950DA">
        <w:rPr>
          <w:rFonts w:ascii="Times New Roman" w:hAnsi="Times New Roman" w:cs="Times New Roman"/>
          <w:b/>
          <w:sz w:val="26"/>
          <w:szCs w:val="26"/>
          <w:lang w:val="uk-UA"/>
        </w:rPr>
        <w:t>Єлиховичі</w:t>
      </w:r>
      <w:proofErr w:type="spellEnd"/>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 протягом</w:t>
      </w:r>
      <w:r w:rsidR="00B81AEF" w:rsidRPr="008F225B">
        <w:rPr>
          <w:rFonts w:ascii="Times New Roman" w:hAnsi="Times New Roman" w:cs="Times New Roman"/>
          <w:sz w:val="26"/>
          <w:szCs w:val="26"/>
          <w:lang w:val="uk-UA"/>
        </w:rPr>
        <w:t xml:space="preserve"> 10,5 годин</w:t>
      </w:r>
      <w:r w:rsidR="00C20FC3"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Щоденний графік роботи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з</w:t>
      </w:r>
      <w:r w:rsidR="00B81AEF" w:rsidRPr="008F225B">
        <w:rPr>
          <w:rFonts w:ascii="Times New Roman" w:hAnsi="Times New Roman" w:cs="Times New Roman"/>
          <w:sz w:val="26"/>
          <w:szCs w:val="26"/>
          <w:lang w:val="uk-UA"/>
        </w:rPr>
        <w:t xml:space="preserve"> 8:00 годин </w:t>
      </w:r>
      <w:r w:rsidRPr="008F225B">
        <w:rPr>
          <w:rFonts w:ascii="Times New Roman" w:hAnsi="Times New Roman" w:cs="Times New Roman"/>
          <w:sz w:val="26"/>
          <w:szCs w:val="26"/>
          <w:lang w:val="uk-UA"/>
        </w:rPr>
        <w:t>до</w:t>
      </w:r>
      <w:r w:rsidR="00B81AEF" w:rsidRPr="008F225B">
        <w:rPr>
          <w:rFonts w:ascii="Times New Roman" w:hAnsi="Times New Roman" w:cs="Times New Roman"/>
          <w:sz w:val="26"/>
          <w:szCs w:val="26"/>
          <w:lang w:val="uk-UA"/>
        </w:rPr>
        <w:t xml:space="preserve"> 18:30 годин</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w:t>
      </w:r>
      <w:r w:rsidR="00AA28AF" w:rsidRPr="008F225B">
        <w:rPr>
          <w:rFonts w:ascii="Times New Roman" w:hAnsi="Times New Roman" w:cs="Times New Roman"/>
          <w:sz w:val="26"/>
          <w:szCs w:val="26"/>
          <w:lang w:val="uk-UA"/>
        </w:rPr>
        <w:lastRenderedPageBreak/>
        <w:t xml:space="preserve">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навчання і 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lastRenderedPageBreak/>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lastRenderedPageBreak/>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lastRenderedPageBreak/>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lastRenderedPageBreak/>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63" w:rsidRDefault="009A0063" w:rsidP="00D364B8">
      <w:pPr>
        <w:spacing w:after="0" w:line="240" w:lineRule="auto"/>
      </w:pPr>
      <w:r>
        <w:separator/>
      </w:r>
    </w:p>
  </w:endnote>
  <w:endnote w:type="continuationSeparator" w:id="0">
    <w:p w:rsidR="009A0063" w:rsidRDefault="009A0063"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D950DA">
      <w:rPr>
        <w:rStyle w:val="a8"/>
        <w:noProof/>
      </w:rPr>
      <w:t>9</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63" w:rsidRDefault="009A0063" w:rsidP="00D364B8">
      <w:pPr>
        <w:spacing w:after="0" w:line="240" w:lineRule="auto"/>
      </w:pPr>
      <w:r>
        <w:separator/>
      </w:r>
    </w:p>
  </w:footnote>
  <w:footnote w:type="continuationSeparator" w:id="0">
    <w:p w:rsidR="009A0063" w:rsidRDefault="009A0063"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86E15"/>
    <w:rsid w:val="000940DD"/>
    <w:rsid w:val="000A2025"/>
    <w:rsid w:val="000B064A"/>
    <w:rsid w:val="000C6495"/>
    <w:rsid w:val="000D3D22"/>
    <w:rsid w:val="000E5967"/>
    <w:rsid w:val="00115F38"/>
    <w:rsid w:val="00116829"/>
    <w:rsid w:val="0012744D"/>
    <w:rsid w:val="00170490"/>
    <w:rsid w:val="00174CA2"/>
    <w:rsid w:val="001A38F5"/>
    <w:rsid w:val="001B25E1"/>
    <w:rsid w:val="001E6F78"/>
    <w:rsid w:val="001F0715"/>
    <w:rsid w:val="002072A9"/>
    <w:rsid w:val="00262321"/>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B26F4"/>
    <w:rsid w:val="005C00E6"/>
    <w:rsid w:val="0061338A"/>
    <w:rsid w:val="0062625E"/>
    <w:rsid w:val="00631355"/>
    <w:rsid w:val="00635708"/>
    <w:rsid w:val="00662F05"/>
    <w:rsid w:val="006947AE"/>
    <w:rsid w:val="006A4973"/>
    <w:rsid w:val="006D46F5"/>
    <w:rsid w:val="007102F7"/>
    <w:rsid w:val="0074054F"/>
    <w:rsid w:val="00751F06"/>
    <w:rsid w:val="00753185"/>
    <w:rsid w:val="00762B37"/>
    <w:rsid w:val="007742CE"/>
    <w:rsid w:val="007B2745"/>
    <w:rsid w:val="007E4039"/>
    <w:rsid w:val="00800E6D"/>
    <w:rsid w:val="008323CB"/>
    <w:rsid w:val="00892B38"/>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A633C"/>
    <w:rsid w:val="00CA64E0"/>
    <w:rsid w:val="00CA7D75"/>
    <w:rsid w:val="00CB4259"/>
    <w:rsid w:val="00CB4307"/>
    <w:rsid w:val="00CD410E"/>
    <w:rsid w:val="00D10EC6"/>
    <w:rsid w:val="00D178BD"/>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5ECAB"/>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1C40-8798-4B39-B286-8114FACD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13415</Words>
  <Characters>7648</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7</cp:revision>
  <dcterms:created xsi:type="dcterms:W3CDTF">2021-02-03T13:19:00Z</dcterms:created>
  <dcterms:modified xsi:type="dcterms:W3CDTF">2021-02-19T12:17:00Z</dcterms:modified>
</cp:coreProperties>
</file>