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261" w:rsidRDefault="00450903" w:rsidP="00185657">
      <w:pPr>
        <w:ind w:left="2832" w:firstLine="708"/>
        <w:rPr>
          <w:b/>
        </w:rPr>
      </w:pPr>
      <w:bookmarkStart w:id="0" w:name="_GoBack"/>
      <w:bookmarkEnd w:id="0"/>
      <w:r>
        <w:rPr>
          <w:b/>
        </w:rPr>
        <w:t xml:space="preserve">  </w:t>
      </w:r>
      <w:r w:rsidR="00FB5BBD">
        <w:rPr>
          <w:b/>
        </w:rPr>
        <w:t xml:space="preserve">                    </w:t>
      </w:r>
      <w:r>
        <w:rPr>
          <w:b/>
        </w:rPr>
        <w:t xml:space="preserve">         СХВАЛЕНО</w:t>
      </w:r>
    </w:p>
    <w:p w:rsidR="00450903" w:rsidRDefault="00450903" w:rsidP="00FB5BBD">
      <w:pPr>
        <w:spacing w:after="0"/>
        <w:ind w:left="2829" w:firstLine="709"/>
      </w:pPr>
      <w:r w:rsidRPr="00450903">
        <w:t xml:space="preserve">                   </w:t>
      </w:r>
      <w:r w:rsidR="00FB5BBD">
        <w:t>р</w:t>
      </w:r>
      <w:r w:rsidRPr="00450903">
        <w:t>ішення виконкому Золочівської</w:t>
      </w:r>
    </w:p>
    <w:p w:rsidR="00450903" w:rsidRDefault="00450903" w:rsidP="00FB5BBD">
      <w:pPr>
        <w:spacing w:after="0"/>
        <w:ind w:left="2829" w:firstLine="709"/>
      </w:pPr>
      <w:r>
        <w:t xml:space="preserve">                   </w:t>
      </w:r>
      <w:r w:rsidR="00FB5BBD">
        <w:t>м</w:t>
      </w:r>
      <w:r>
        <w:t>іської ради Золочівського району</w:t>
      </w:r>
    </w:p>
    <w:p w:rsidR="00450903" w:rsidRDefault="00FB5BBD" w:rsidP="00FB5BBD">
      <w:pPr>
        <w:spacing w:after="0"/>
        <w:ind w:left="2829" w:firstLine="709"/>
      </w:pPr>
      <w:r>
        <w:t xml:space="preserve">                   </w:t>
      </w:r>
      <w:r w:rsidR="00450903">
        <w:t>Львівської області</w:t>
      </w:r>
    </w:p>
    <w:p w:rsidR="00FB5BBD" w:rsidRPr="00450903" w:rsidRDefault="00FB5BBD" w:rsidP="00FB5BBD">
      <w:pPr>
        <w:spacing w:after="0"/>
        <w:ind w:left="2829" w:firstLine="709"/>
      </w:pPr>
      <w:r>
        <w:t xml:space="preserve">                   від 20.08.2021 року №</w:t>
      </w:r>
      <w:r w:rsidR="00DC15D3">
        <w:t xml:space="preserve"> 520</w:t>
      </w:r>
    </w:p>
    <w:p w:rsidR="00450903" w:rsidRDefault="00450903" w:rsidP="00FB5BBD">
      <w:pPr>
        <w:ind w:left="2832" w:firstLine="708"/>
        <w:jc w:val="center"/>
        <w:rPr>
          <w:b/>
        </w:rPr>
      </w:pPr>
    </w:p>
    <w:p w:rsidR="00490BE8" w:rsidRPr="009F1CCA" w:rsidRDefault="00FB5BBD" w:rsidP="00FB5BBD">
      <w:pPr>
        <w:rPr>
          <w:b/>
        </w:rPr>
      </w:pPr>
      <w:r>
        <w:rPr>
          <w:b/>
        </w:rPr>
        <w:t xml:space="preserve">                                                          </w:t>
      </w:r>
      <w:r w:rsidR="00E05C35" w:rsidRPr="009F1CCA">
        <w:rPr>
          <w:b/>
        </w:rPr>
        <w:t>ПРОГНОЗ</w:t>
      </w:r>
    </w:p>
    <w:p w:rsidR="009F1CCA" w:rsidRPr="00576734" w:rsidRDefault="00576734" w:rsidP="00FB5BBD">
      <w:pPr>
        <w:spacing w:line="240" w:lineRule="auto"/>
        <w:contextualSpacing/>
        <w:jc w:val="center"/>
        <w:rPr>
          <w:b/>
        </w:rPr>
      </w:pPr>
      <w:r w:rsidRPr="00576734">
        <w:rPr>
          <w:b/>
        </w:rPr>
        <w:t xml:space="preserve">бюджету </w:t>
      </w:r>
      <w:r w:rsidR="003517FF">
        <w:rPr>
          <w:b/>
        </w:rPr>
        <w:t>Золочівської</w:t>
      </w:r>
      <w:r w:rsidRPr="00576734">
        <w:rPr>
          <w:b/>
        </w:rPr>
        <w:t xml:space="preserve"> </w:t>
      </w:r>
      <w:r w:rsidR="003517FF">
        <w:rPr>
          <w:b/>
        </w:rPr>
        <w:t>міської</w:t>
      </w:r>
      <w:r w:rsidRPr="00576734">
        <w:rPr>
          <w:b/>
        </w:rPr>
        <w:t xml:space="preserve">  </w:t>
      </w:r>
      <w:r w:rsidR="00DE3F96">
        <w:rPr>
          <w:b/>
        </w:rPr>
        <w:t xml:space="preserve">територіальної  </w:t>
      </w:r>
      <w:r w:rsidR="00E05C35" w:rsidRPr="00576734">
        <w:rPr>
          <w:b/>
        </w:rPr>
        <w:t>громади</w:t>
      </w:r>
    </w:p>
    <w:p w:rsidR="00490BE8" w:rsidRPr="00576734" w:rsidRDefault="00E05C35" w:rsidP="00FB5BBD">
      <w:pPr>
        <w:spacing w:line="240" w:lineRule="auto"/>
        <w:contextualSpacing/>
        <w:jc w:val="center"/>
        <w:rPr>
          <w:b/>
        </w:rPr>
      </w:pPr>
      <w:r w:rsidRPr="00576734">
        <w:rPr>
          <w:b/>
        </w:rPr>
        <w:t>на 2022 – 2024 роки</w:t>
      </w:r>
    </w:p>
    <w:p w:rsidR="003517FF" w:rsidRDefault="003517FF" w:rsidP="00FB5BBD">
      <w:pPr>
        <w:spacing w:line="240" w:lineRule="auto"/>
        <w:ind w:left="2832" w:firstLine="3"/>
        <w:contextualSpacing/>
        <w:jc w:val="center"/>
        <w:rPr>
          <w:b/>
        </w:rPr>
      </w:pPr>
    </w:p>
    <w:p w:rsidR="00576734" w:rsidRPr="003517FF" w:rsidRDefault="003517FF" w:rsidP="00FB5BBD">
      <w:pPr>
        <w:spacing w:line="240" w:lineRule="auto"/>
        <w:contextualSpacing/>
        <w:jc w:val="center"/>
        <w:rPr>
          <w:b/>
        </w:rPr>
      </w:pPr>
      <w:r>
        <w:rPr>
          <w:b/>
          <w:u w:val="single"/>
        </w:rPr>
        <w:t>13557000000</w:t>
      </w:r>
    </w:p>
    <w:p w:rsidR="00576734" w:rsidRPr="003517FF" w:rsidRDefault="003517FF" w:rsidP="00FB5BBD">
      <w:pPr>
        <w:jc w:val="center"/>
        <w:rPr>
          <w:sz w:val="20"/>
          <w:szCs w:val="20"/>
        </w:rPr>
      </w:pPr>
      <w:r w:rsidRPr="003517FF">
        <w:rPr>
          <w:sz w:val="20"/>
          <w:szCs w:val="20"/>
        </w:rPr>
        <w:t>(код бюджету)</w:t>
      </w:r>
    </w:p>
    <w:p w:rsidR="00620AC0" w:rsidRPr="00E5580C" w:rsidRDefault="00620AC0" w:rsidP="00620AC0">
      <w:pPr>
        <w:pStyle w:val="LO-Normal"/>
        <w:spacing w:before="0" w:line="240" w:lineRule="auto"/>
        <w:rPr>
          <w:rFonts w:ascii="Times New Roman" w:hAnsi="Times New Roman" w:cs="Times New Roman"/>
          <w:sz w:val="28"/>
          <w:szCs w:val="28"/>
        </w:rPr>
      </w:pPr>
      <w:r w:rsidRPr="00E5580C">
        <w:rPr>
          <w:rFonts w:ascii="Times New Roman" w:hAnsi="Times New Roman" w:cs="Times New Roman"/>
          <w:b/>
          <w:bCs/>
          <w:sz w:val="28"/>
          <w:szCs w:val="28"/>
        </w:rPr>
        <w:t xml:space="preserve">  </w:t>
      </w:r>
      <w:r w:rsidR="00DE3F96" w:rsidRPr="00E5580C">
        <w:rPr>
          <w:rFonts w:ascii="Times New Roman" w:hAnsi="Times New Roman" w:cs="Times New Roman"/>
          <w:b/>
          <w:bCs/>
          <w:sz w:val="28"/>
          <w:szCs w:val="28"/>
        </w:rPr>
        <w:t xml:space="preserve">                                 </w:t>
      </w:r>
      <w:r w:rsidRPr="00E5580C">
        <w:rPr>
          <w:rFonts w:ascii="Times New Roman" w:hAnsi="Times New Roman" w:cs="Times New Roman"/>
          <w:b/>
          <w:bCs/>
          <w:sz w:val="28"/>
          <w:szCs w:val="28"/>
          <w:lang w:val="en-US"/>
        </w:rPr>
        <w:t>I</w:t>
      </w:r>
      <w:r w:rsidRPr="00E5580C">
        <w:rPr>
          <w:rFonts w:ascii="Times New Roman" w:hAnsi="Times New Roman" w:cs="Times New Roman"/>
          <w:b/>
          <w:bCs/>
          <w:sz w:val="28"/>
          <w:szCs w:val="28"/>
        </w:rPr>
        <w:t>. Загальна частина</w:t>
      </w:r>
    </w:p>
    <w:p w:rsidR="003517FF" w:rsidRPr="00E5580C" w:rsidRDefault="00620AC0" w:rsidP="003517FF">
      <w:pPr>
        <w:ind w:firstLine="566"/>
        <w:jc w:val="both"/>
        <w:rPr>
          <w:rFonts w:cs="Times New Roman"/>
          <w:szCs w:val="28"/>
        </w:rPr>
      </w:pPr>
      <w:r w:rsidRPr="00E5580C">
        <w:rPr>
          <w:rFonts w:cs="Times New Roman"/>
          <w:szCs w:val="28"/>
        </w:rPr>
        <w:t xml:space="preserve">        Прогноз бюджет</w:t>
      </w:r>
      <w:r w:rsidR="00A04481" w:rsidRPr="00E5580C">
        <w:rPr>
          <w:rFonts w:cs="Times New Roman"/>
          <w:szCs w:val="28"/>
        </w:rPr>
        <w:t>у</w:t>
      </w:r>
      <w:r w:rsidRPr="00E5580C">
        <w:rPr>
          <w:rFonts w:cs="Times New Roman"/>
          <w:szCs w:val="28"/>
        </w:rPr>
        <w:t xml:space="preserve"> </w:t>
      </w:r>
      <w:r w:rsidR="003517FF" w:rsidRPr="00E5580C">
        <w:rPr>
          <w:rFonts w:cs="Times New Roman"/>
          <w:szCs w:val="28"/>
        </w:rPr>
        <w:t xml:space="preserve">Золочівської міської </w:t>
      </w:r>
      <w:r w:rsidRPr="00E5580C">
        <w:rPr>
          <w:rFonts w:cs="Times New Roman"/>
          <w:szCs w:val="28"/>
        </w:rPr>
        <w:t>територіальної громади на 2022-2024 роки (далі – Прогноз) розроблено</w:t>
      </w:r>
      <w:r w:rsidR="003517FF" w:rsidRPr="00E5580C">
        <w:rPr>
          <w:rFonts w:cs="Times New Roman"/>
          <w:szCs w:val="28"/>
        </w:rPr>
        <w:t xml:space="preserve"> на основі положень Бюджетного та Податкового кодексів України, постанови Кабінету Міністрів України від 31.05.2021 №548 «Про схвалення Бюджетної декларації на 2022-2024 роки», наказу Міністерства фінансів України від 02.06.2021 №314 «Про затвердження Типової форми прогнозу місцевого бюджету та Інструкції щодо його складання» і є основою для складання проекту міського бюджету.</w:t>
      </w:r>
    </w:p>
    <w:p w:rsidR="003517FF" w:rsidRPr="00E5580C" w:rsidRDefault="003517FF" w:rsidP="003517FF">
      <w:pPr>
        <w:ind w:firstLine="566"/>
        <w:jc w:val="both"/>
        <w:rPr>
          <w:rFonts w:cs="Times New Roman"/>
          <w:szCs w:val="28"/>
        </w:rPr>
      </w:pPr>
      <w:r w:rsidRPr="00E5580C">
        <w:rPr>
          <w:rFonts w:cs="Times New Roman"/>
          <w:szCs w:val="28"/>
        </w:rPr>
        <w:t>Показники Прогнозу сформовано на підставі положень Бюджетної декларації на 2022-2024 роки, схваленої постановою Кабінету Міністрів України від 31 травня 2021 року № 548, основних прогнозних макропоказників економічного і соціального розвитку України, а також на основі комплексного аналізу економічної ситуації, стану фінансового потенціалу, оцінки досягнутого рівня розвитку економіки і соціальної сфери територіальної громади.</w:t>
      </w:r>
    </w:p>
    <w:p w:rsidR="003517FF" w:rsidRPr="00E5580C" w:rsidRDefault="003517FF" w:rsidP="003517FF">
      <w:pPr>
        <w:ind w:firstLine="540"/>
        <w:jc w:val="both"/>
        <w:rPr>
          <w:rFonts w:cs="Times New Roman"/>
          <w:szCs w:val="28"/>
        </w:rPr>
      </w:pPr>
      <w:r w:rsidRPr="00E5580C">
        <w:rPr>
          <w:rFonts w:cs="Times New Roman"/>
          <w:szCs w:val="28"/>
        </w:rPr>
        <w:t>Метою прогнозу є забезпечення передбачуваності та послідовності бюджетної політики та визначення можливостей міського бюджету у середньостроковій перспективі.</w:t>
      </w:r>
    </w:p>
    <w:p w:rsidR="003517FF" w:rsidRPr="00E5580C" w:rsidRDefault="003517FF" w:rsidP="003517FF">
      <w:pPr>
        <w:ind w:firstLine="540"/>
        <w:jc w:val="both"/>
        <w:rPr>
          <w:rFonts w:cs="Times New Roman"/>
          <w:szCs w:val="28"/>
        </w:rPr>
      </w:pPr>
      <w:r w:rsidRPr="00E5580C">
        <w:rPr>
          <w:rFonts w:cs="Times New Roman"/>
          <w:szCs w:val="28"/>
        </w:rPr>
        <w:t>Основними завдання прогнозу є:</w:t>
      </w:r>
    </w:p>
    <w:p w:rsidR="003517FF" w:rsidRPr="00E5580C" w:rsidRDefault="003517FF" w:rsidP="003517FF">
      <w:pPr>
        <w:numPr>
          <w:ilvl w:val="0"/>
          <w:numId w:val="17"/>
        </w:numPr>
        <w:spacing w:after="0" w:line="240" w:lineRule="auto"/>
        <w:jc w:val="both"/>
        <w:rPr>
          <w:rFonts w:cs="Times New Roman"/>
          <w:szCs w:val="28"/>
        </w:rPr>
      </w:pPr>
      <w:r w:rsidRPr="00E5580C">
        <w:rPr>
          <w:rFonts w:cs="Times New Roman"/>
          <w:szCs w:val="28"/>
        </w:rPr>
        <w:t>забезпечення стабільного функціонування бюджетних установ міської ради;</w:t>
      </w:r>
    </w:p>
    <w:p w:rsidR="003517FF" w:rsidRPr="00E5580C" w:rsidRDefault="003517FF" w:rsidP="003517FF">
      <w:pPr>
        <w:numPr>
          <w:ilvl w:val="0"/>
          <w:numId w:val="17"/>
        </w:numPr>
        <w:spacing w:after="0" w:line="240" w:lineRule="auto"/>
        <w:jc w:val="both"/>
        <w:rPr>
          <w:rFonts w:cs="Times New Roman"/>
          <w:szCs w:val="28"/>
        </w:rPr>
      </w:pPr>
      <w:r w:rsidRPr="00E5580C">
        <w:rPr>
          <w:rFonts w:cs="Times New Roman"/>
          <w:szCs w:val="28"/>
        </w:rPr>
        <w:t xml:space="preserve">підвищення ефективності управління бюджетними коштами шляхом застосування дієвих методів економії бюджетних коштів; </w:t>
      </w:r>
    </w:p>
    <w:p w:rsidR="003517FF" w:rsidRPr="00E5580C" w:rsidRDefault="003517FF" w:rsidP="003517FF">
      <w:pPr>
        <w:numPr>
          <w:ilvl w:val="0"/>
          <w:numId w:val="17"/>
        </w:numPr>
        <w:spacing w:after="0" w:line="240" w:lineRule="auto"/>
        <w:jc w:val="both"/>
        <w:rPr>
          <w:rFonts w:cs="Times New Roman"/>
          <w:szCs w:val="28"/>
        </w:rPr>
      </w:pPr>
      <w:r w:rsidRPr="00E5580C">
        <w:rPr>
          <w:rFonts w:cs="Times New Roman"/>
          <w:szCs w:val="28"/>
        </w:rPr>
        <w:t>підвищення результативності та ефективності бюджетних програм;</w:t>
      </w:r>
    </w:p>
    <w:p w:rsidR="003517FF" w:rsidRPr="00E5580C" w:rsidRDefault="003517FF" w:rsidP="003517FF">
      <w:pPr>
        <w:numPr>
          <w:ilvl w:val="0"/>
          <w:numId w:val="17"/>
        </w:numPr>
        <w:spacing w:after="0" w:line="240" w:lineRule="auto"/>
        <w:jc w:val="both"/>
        <w:rPr>
          <w:rFonts w:cs="Times New Roman"/>
          <w:szCs w:val="28"/>
        </w:rPr>
      </w:pPr>
      <w:r w:rsidRPr="00E5580C">
        <w:rPr>
          <w:rFonts w:cs="Times New Roman"/>
          <w:szCs w:val="28"/>
        </w:rPr>
        <w:t>посилення бюджетної дисципліни та контролю за витрачанням бюджетних коштів;</w:t>
      </w:r>
    </w:p>
    <w:p w:rsidR="006D5E23" w:rsidRPr="00E5580C" w:rsidRDefault="006D5E23" w:rsidP="006D5E23">
      <w:pPr>
        <w:pStyle w:val="a5"/>
        <w:numPr>
          <w:ilvl w:val="0"/>
          <w:numId w:val="17"/>
        </w:numPr>
        <w:spacing w:after="0"/>
        <w:jc w:val="both"/>
        <w:rPr>
          <w:rFonts w:cs="Times New Roman"/>
          <w:szCs w:val="28"/>
        </w:rPr>
      </w:pPr>
      <w:r w:rsidRPr="00E5580C">
        <w:rPr>
          <w:rFonts w:cs="Times New Roman"/>
          <w:szCs w:val="28"/>
        </w:rPr>
        <w:t xml:space="preserve"> реалізація системних напрямків удосконалення і формування оптимальної мережі бюджетних установ з метою надання якісних послуг;</w:t>
      </w:r>
    </w:p>
    <w:p w:rsidR="003517FF" w:rsidRPr="00E5580C" w:rsidRDefault="003517FF" w:rsidP="003517FF">
      <w:pPr>
        <w:numPr>
          <w:ilvl w:val="0"/>
          <w:numId w:val="17"/>
        </w:numPr>
        <w:spacing w:after="0" w:line="240" w:lineRule="auto"/>
        <w:jc w:val="both"/>
        <w:rPr>
          <w:rFonts w:cs="Times New Roman"/>
          <w:szCs w:val="28"/>
        </w:rPr>
      </w:pPr>
      <w:r w:rsidRPr="00E5580C">
        <w:rPr>
          <w:rFonts w:cs="Times New Roman"/>
          <w:szCs w:val="28"/>
        </w:rPr>
        <w:t>удосконалення системи результативних показників з метою підвищення якості надання послуг у відповідних сферах;</w:t>
      </w:r>
    </w:p>
    <w:p w:rsidR="003517FF" w:rsidRPr="00E5580C" w:rsidRDefault="003517FF" w:rsidP="003517FF">
      <w:pPr>
        <w:numPr>
          <w:ilvl w:val="0"/>
          <w:numId w:val="17"/>
        </w:numPr>
        <w:spacing w:after="0" w:line="240" w:lineRule="auto"/>
        <w:jc w:val="both"/>
        <w:rPr>
          <w:rFonts w:cs="Times New Roman"/>
          <w:szCs w:val="28"/>
        </w:rPr>
      </w:pPr>
      <w:r w:rsidRPr="00E5580C">
        <w:rPr>
          <w:rFonts w:cs="Times New Roman"/>
          <w:szCs w:val="28"/>
        </w:rPr>
        <w:lastRenderedPageBreak/>
        <w:t xml:space="preserve">використання фінансових ресурсів таким чином, щоб отримати максимальний економічний ефект і вирішити найбільш нагальні та важливі завдання;  </w:t>
      </w:r>
    </w:p>
    <w:p w:rsidR="00620AC0" w:rsidRPr="00E5580C" w:rsidRDefault="00620AC0" w:rsidP="00DE3F96">
      <w:pPr>
        <w:spacing w:after="0"/>
        <w:jc w:val="both"/>
        <w:rPr>
          <w:rFonts w:cs="Times New Roman"/>
          <w:szCs w:val="28"/>
        </w:rPr>
      </w:pPr>
      <w:r w:rsidRPr="00E5580C">
        <w:rPr>
          <w:rFonts w:cs="Times New Roman"/>
          <w:szCs w:val="28"/>
        </w:rPr>
        <w:t xml:space="preserve">       </w:t>
      </w:r>
      <w:r w:rsidR="001F5301" w:rsidRPr="00E5580C">
        <w:rPr>
          <w:rFonts w:cs="Times New Roman"/>
          <w:szCs w:val="28"/>
        </w:rPr>
        <w:t xml:space="preserve"> </w:t>
      </w:r>
      <w:r w:rsidRPr="00E5580C">
        <w:rPr>
          <w:rFonts w:cs="Times New Roman"/>
          <w:szCs w:val="28"/>
        </w:rPr>
        <w:t xml:space="preserve">Виконання прогнозних показників бюджету в середньостроковому періоді дозволить реалізувати цілі державної політики та місцевого розвитку, включаючи покращення рівня доступності та якості надання публічних послуг; забезпечити передбачуваність та послідовність бюджетної політики; впровадити соціальні стандарти. </w:t>
      </w:r>
    </w:p>
    <w:p w:rsidR="00620AC0" w:rsidRPr="00E5580C" w:rsidRDefault="00620AC0" w:rsidP="00DE3F96">
      <w:pPr>
        <w:spacing w:after="0"/>
        <w:jc w:val="both"/>
        <w:rPr>
          <w:rFonts w:cs="Times New Roman"/>
          <w:szCs w:val="28"/>
        </w:rPr>
      </w:pPr>
      <w:r w:rsidRPr="00E5580C">
        <w:rPr>
          <w:rFonts w:cs="Times New Roman"/>
          <w:szCs w:val="28"/>
        </w:rPr>
        <w:t xml:space="preserve">        Можливими ризиками невиконання прогнозних показників можуть бути зростання цін на енергоносії у порівнянні з показниками, врахованими у Прогнозі, невиконання прогнозних показників доходів бюджету, підвищення рівня інфляції.</w:t>
      </w:r>
    </w:p>
    <w:p w:rsidR="006D5E23" w:rsidRPr="00E5580C" w:rsidRDefault="006D5E23" w:rsidP="006D5E23">
      <w:pPr>
        <w:ind w:left="718"/>
        <w:rPr>
          <w:rFonts w:cs="Times New Roman"/>
          <w:szCs w:val="28"/>
        </w:rPr>
      </w:pPr>
      <w:r w:rsidRPr="00E5580C">
        <w:rPr>
          <w:rFonts w:cs="Times New Roman"/>
          <w:szCs w:val="28"/>
        </w:rPr>
        <w:t xml:space="preserve">Показники Прогнозу можуть змінюватись внаслідок:  </w:t>
      </w:r>
    </w:p>
    <w:p w:rsidR="006D5E23" w:rsidRPr="00E5580C" w:rsidRDefault="006D5E23" w:rsidP="006D5E23">
      <w:pPr>
        <w:numPr>
          <w:ilvl w:val="0"/>
          <w:numId w:val="18"/>
        </w:numPr>
        <w:spacing w:after="0" w:line="240" w:lineRule="auto"/>
        <w:ind w:firstLine="566"/>
        <w:jc w:val="both"/>
        <w:rPr>
          <w:rFonts w:cs="Times New Roman"/>
          <w:szCs w:val="28"/>
        </w:rPr>
      </w:pPr>
      <w:r w:rsidRPr="00E5580C">
        <w:rPr>
          <w:rFonts w:cs="Times New Roman"/>
          <w:szCs w:val="28"/>
        </w:rPr>
        <w:t xml:space="preserve">підвищення фактичних цін і тарифів на енергоносії понад рівень,            визначений у Бюджетній декларації;  </w:t>
      </w:r>
    </w:p>
    <w:p w:rsidR="006D5E23" w:rsidRPr="00E5580C" w:rsidRDefault="006D5E23" w:rsidP="006D5E23">
      <w:pPr>
        <w:numPr>
          <w:ilvl w:val="0"/>
          <w:numId w:val="18"/>
        </w:numPr>
        <w:spacing w:after="0" w:line="240" w:lineRule="auto"/>
        <w:ind w:firstLine="566"/>
        <w:jc w:val="both"/>
        <w:rPr>
          <w:rFonts w:cs="Times New Roman"/>
          <w:szCs w:val="28"/>
        </w:rPr>
      </w:pPr>
      <w:r w:rsidRPr="00E5580C">
        <w:rPr>
          <w:rFonts w:cs="Times New Roman"/>
          <w:szCs w:val="28"/>
        </w:rPr>
        <w:t xml:space="preserve">фактичне перевищення рівня споживчих цін та цін виробників порівняно з рівнем, прийнятим у Бюджетній декларації;  </w:t>
      </w:r>
    </w:p>
    <w:p w:rsidR="006D5E23" w:rsidRPr="00E5580C" w:rsidRDefault="006D5E23" w:rsidP="006D5E23">
      <w:pPr>
        <w:numPr>
          <w:ilvl w:val="0"/>
          <w:numId w:val="18"/>
        </w:numPr>
        <w:spacing w:after="0" w:line="240" w:lineRule="auto"/>
        <w:ind w:firstLine="566"/>
        <w:jc w:val="both"/>
        <w:rPr>
          <w:rFonts w:cs="Times New Roman"/>
          <w:szCs w:val="28"/>
        </w:rPr>
      </w:pPr>
      <w:r w:rsidRPr="00E5580C">
        <w:rPr>
          <w:rFonts w:cs="Times New Roman"/>
          <w:szCs w:val="28"/>
        </w:rPr>
        <w:t xml:space="preserve">визначення міжбюджетних трансфертів (освітня субвенція, базова дотація, додаткові дотації) в обсягах які не враховані при розрахунку прогнозу міського бюджету;  </w:t>
      </w:r>
    </w:p>
    <w:p w:rsidR="00361316" w:rsidRPr="00E5580C" w:rsidRDefault="006D5E23" w:rsidP="00361316">
      <w:pPr>
        <w:numPr>
          <w:ilvl w:val="0"/>
          <w:numId w:val="18"/>
        </w:numPr>
        <w:spacing w:after="0" w:line="240" w:lineRule="auto"/>
        <w:ind w:firstLine="566"/>
        <w:jc w:val="both"/>
        <w:rPr>
          <w:rFonts w:cs="Times New Roman"/>
          <w:szCs w:val="28"/>
        </w:rPr>
      </w:pPr>
      <w:r w:rsidRPr="00E5580C">
        <w:rPr>
          <w:rFonts w:cs="Times New Roman"/>
          <w:szCs w:val="28"/>
        </w:rPr>
        <w:t xml:space="preserve">та інші. </w:t>
      </w:r>
    </w:p>
    <w:p w:rsidR="009A6EEB" w:rsidRPr="00E5580C" w:rsidRDefault="00361316" w:rsidP="00361316">
      <w:pPr>
        <w:spacing w:after="0" w:line="240" w:lineRule="auto"/>
        <w:ind w:firstLine="566"/>
        <w:jc w:val="both"/>
        <w:rPr>
          <w:rFonts w:cs="Times New Roman"/>
          <w:szCs w:val="28"/>
        </w:rPr>
      </w:pPr>
      <w:r w:rsidRPr="00E5580C">
        <w:rPr>
          <w:rFonts w:cs="Times New Roman"/>
          <w:szCs w:val="28"/>
        </w:rPr>
        <w:t xml:space="preserve">   </w:t>
      </w:r>
      <w:r w:rsidR="009A6EEB" w:rsidRPr="00E5580C">
        <w:rPr>
          <w:rFonts w:cs="Times New Roman"/>
          <w:szCs w:val="28"/>
        </w:rPr>
        <w:t>Очікуваними результатами реалізації бюджетної політики в середньостроковій перспективі є своєчасна виплата заробітної плати працівникам бюджетних установ та недопущення утворення простроченої кредиторської заборгованості за такими виплатами, своєчасна оплата енергоносіїв, які споживаються бюджетними установами, які фінансуються з бюджету міської територіальної громади, забезпечення належного співфінансування проектів та заходів, які забезпечуються за рахунок трансфертів з державного бюджету у розмірах, визначених законодавством, погашення існуючої та недопущення утворення нової простроченої заборгованості за видатками бюджету міської територіальної громади, фінансове забезпечення виконання власних та делегованих повноважень міською радою, фінансове забезпечення виконання головними розпорядниками бюджетних коштів їх планів діяльності, упорядкування мережі бюджетних установ, яка б забезпечувала досягнення мети і цілей їх діяльності з максимальною ефективністю та мінімальними затратами.</w:t>
      </w:r>
    </w:p>
    <w:p w:rsidR="006D5E23" w:rsidRPr="00E5580C" w:rsidRDefault="009A6EEB" w:rsidP="00FB5BBD">
      <w:pPr>
        <w:ind w:firstLine="566"/>
        <w:jc w:val="both"/>
        <w:rPr>
          <w:rFonts w:cs="Times New Roman"/>
          <w:szCs w:val="28"/>
        </w:rPr>
      </w:pPr>
      <w:r w:rsidRPr="00E5580C">
        <w:rPr>
          <w:rFonts w:cs="Times New Roman"/>
          <w:szCs w:val="28"/>
        </w:rPr>
        <w:t xml:space="preserve">При несприятливих зовнішніх політичних, економічних і інших факторах, які впливають на економіку України, і як наслідок, на обсяг фінансового ресурсу в громаді, та ймовірне недосягнення запланованих темпів зростання фонду оплати праці, що може призвести до невиконання прогнозних показників за доходами, а саме податку на доходи фізичних осіб, який в структурі доходів міського бюджету займає домінуючу позицію. Як наслідок, для уникнення розбалансованості бюджету постане питання зменшення видатків розвитку громади, зокрема, капітальних видатків. </w:t>
      </w:r>
    </w:p>
    <w:p w:rsidR="00620AC0" w:rsidRPr="00E5580C" w:rsidRDefault="00620AC0" w:rsidP="00EB6DA3">
      <w:pPr>
        <w:spacing w:after="0"/>
        <w:jc w:val="both"/>
        <w:rPr>
          <w:rFonts w:cs="Times New Roman"/>
          <w:szCs w:val="28"/>
        </w:rPr>
      </w:pPr>
      <w:r w:rsidRPr="00E5580C">
        <w:rPr>
          <w:rFonts w:cs="Times New Roman"/>
          <w:szCs w:val="28"/>
        </w:rPr>
        <w:lastRenderedPageBreak/>
        <w:t xml:space="preserve">        Формування </w:t>
      </w:r>
      <w:r w:rsidR="00A04481" w:rsidRPr="00E5580C">
        <w:rPr>
          <w:rFonts w:cs="Times New Roman"/>
          <w:szCs w:val="28"/>
        </w:rPr>
        <w:t>П</w:t>
      </w:r>
      <w:r w:rsidRPr="00E5580C">
        <w:rPr>
          <w:rFonts w:cs="Times New Roman"/>
          <w:szCs w:val="28"/>
        </w:rPr>
        <w:t>рогнозу базується на принципах збалансованості, обґрунтованості, ефективності та результативності, які визначені статтею 7 Бюджетного кодексу України.</w:t>
      </w:r>
    </w:p>
    <w:p w:rsidR="00CC4B5B" w:rsidRPr="00E5580C" w:rsidRDefault="00CC4B5B" w:rsidP="00EB6DA3">
      <w:pPr>
        <w:spacing w:after="0"/>
        <w:jc w:val="both"/>
        <w:rPr>
          <w:rFonts w:cs="Times New Roman"/>
          <w:szCs w:val="28"/>
        </w:rPr>
      </w:pPr>
    </w:p>
    <w:p w:rsidR="00620AC0" w:rsidRPr="00E5580C" w:rsidRDefault="00620AC0" w:rsidP="00620AC0">
      <w:pPr>
        <w:spacing w:before="120" w:after="120"/>
        <w:jc w:val="both"/>
        <w:rPr>
          <w:rFonts w:cs="Times New Roman"/>
          <w:b/>
          <w:szCs w:val="28"/>
        </w:rPr>
      </w:pPr>
      <w:r w:rsidRPr="00E5580C">
        <w:rPr>
          <w:rFonts w:cs="Times New Roman"/>
          <w:b/>
          <w:szCs w:val="28"/>
        </w:rPr>
        <w:t xml:space="preserve">   </w:t>
      </w:r>
      <w:r w:rsidRPr="00E5580C">
        <w:rPr>
          <w:rFonts w:cs="Times New Roman"/>
          <w:b/>
          <w:szCs w:val="28"/>
          <w:lang w:val="en-US"/>
        </w:rPr>
        <w:t>II</w:t>
      </w:r>
      <w:r w:rsidRPr="00E5580C">
        <w:rPr>
          <w:rFonts w:cs="Times New Roman"/>
          <w:b/>
          <w:szCs w:val="28"/>
        </w:rPr>
        <w:t>. Основні прогнозні показники економічного та соціального розвитку</w:t>
      </w:r>
    </w:p>
    <w:p w:rsidR="00062F8D" w:rsidRPr="00E5580C" w:rsidRDefault="00062F8D" w:rsidP="00062F8D">
      <w:pPr>
        <w:tabs>
          <w:tab w:val="left" w:pos="0"/>
          <w:tab w:val="left" w:pos="993"/>
        </w:tabs>
        <w:spacing w:after="0" w:line="240" w:lineRule="auto"/>
        <w:ind w:firstLine="709"/>
        <w:jc w:val="both"/>
        <w:rPr>
          <w:rFonts w:cs="Times New Roman"/>
          <w:szCs w:val="28"/>
        </w:rPr>
      </w:pPr>
      <w:r w:rsidRPr="00E5580C">
        <w:rPr>
          <w:rFonts w:eastAsia="Calibri" w:cs="Times New Roman"/>
          <w:szCs w:val="28"/>
        </w:rPr>
        <w:t xml:space="preserve"> </w:t>
      </w:r>
      <w:r w:rsidRPr="00E5580C">
        <w:rPr>
          <w:rFonts w:cs="Times New Roman"/>
          <w:szCs w:val="28"/>
        </w:rPr>
        <w:t xml:space="preserve">Золочівська територіальна громада характеризується значним сільськогосподарським, промисловим, туристичним, технічним потенціалом. Стратегія розвитку Львівщини до 2027 року відводить Золочівській міській територіальній громаді кілька напрямків розвитку, зокрема сільськогосподарського комплексу, промислового центру переробки сировини з високою доданою вартістю та виходом на світові ринки. </w:t>
      </w:r>
    </w:p>
    <w:p w:rsidR="00062F8D" w:rsidRPr="00E5580C" w:rsidRDefault="00062F8D" w:rsidP="00062F8D">
      <w:pPr>
        <w:tabs>
          <w:tab w:val="left" w:pos="0"/>
          <w:tab w:val="left" w:pos="993"/>
        </w:tabs>
        <w:spacing w:after="0" w:line="240" w:lineRule="auto"/>
        <w:ind w:firstLine="709"/>
        <w:jc w:val="both"/>
        <w:rPr>
          <w:rFonts w:cs="Times New Roman"/>
          <w:szCs w:val="28"/>
        </w:rPr>
      </w:pPr>
      <w:r w:rsidRPr="00E5580C">
        <w:rPr>
          <w:rFonts w:cs="Times New Roman"/>
          <w:szCs w:val="28"/>
        </w:rPr>
        <w:t>Основні галузі економіки міської територіальної громади характеризуються такими показниками:</w:t>
      </w:r>
    </w:p>
    <w:p w:rsidR="00062F8D" w:rsidRPr="00E5580C" w:rsidRDefault="00062F8D" w:rsidP="00062F8D">
      <w:pPr>
        <w:tabs>
          <w:tab w:val="left" w:pos="0"/>
          <w:tab w:val="left" w:pos="993"/>
        </w:tabs>
        <w:spacing w:after="0" w:line="240" w:lineRule="auto"/>
        <w:ind w:firstLine="709"/>
        <w:jc w:val="both"/>
        <w:rPr>
          <w:rFonts w:cs="Times New Roman"/>
          <w:i/>
          <w:szCs w:val="28"/>
        </w:rPr>
      </w:pPr>
      <w:r w:rsidRPr="00E5580C">
        <w:rPr>
          <w:rFonts w:cs="Times New Roman"/>
          <w:i/>
          <w:szCs w:val="28"/>
        </w:rPr>
        <w:t>Сільське господарство.</w:t>
      </w:r>
    </w:p>
    <w:p w:rsidR="00062F8D" w:rsidRPr="00E5580C" w:rsidRDefault="00062F8D" w:rsidP="00062F8D">
      <w:pPr>
        <w:spacing w:after="0"/>
        <w:ind w:firstLine="425"/>
        <w:jc w:val="both"/>
        <w:rPr>
          <w:rFonts w:cs="Times New Roman"/>
          <w:szCs w:val="28"/>
        </w:rPr>
      </w:pPr>
      <w:r w:rsidRPr="00E5580C">
        <w:rPr>
          <w:rFonts w:cs="Times New Roman"/>
          <w:szCs w:val="28"/>
        </w:rPr>
        <w:t>По Золочівській територіальній громаді налічується 30 сільгосппідприємств, у тому числі – 7 фермерських господарств.</w:t>
      </w:r>
    </w:p>
    <w:p w:rsidR="00062F8D" w:rsidRPr="00E5580C" w:rsidRDefault="00062F8D" w:rsidP="00062F8D">
      <w:pPr>
        <w:pStyle w:val="Style1"/>
        <w:rPr>
          <w:rFonts w:ascii="Times New Roman" w:hAnsi="Times New Roman" w:cs="Times New Roman"/>
          <w:b/>
          <w:sz w:val="28"/>
          <w:szCs w:val="28"/>
          <w:shd w:val="clear" w:color="auto" w:fill="FFFFFF"/>
        </w:rPr>
      </w:pPr>
      <w:r w:rsidRPr="00E5580C">
        <w:rPr>
          <w:rFonts w:ascii="Times New Roman" w:hAnsi="Times New Roman" w:cs="Times New Roman"/>
          <w:sz w:val="28"/>
          <w:szCs w:val="28"/>
        </w:rPr>
        <w:t>Сільськогосподарські землі громади займають 40 925,5 га, або 64,9 % від загальної площі громади.</w:t>
      </w:r>
      <w:r w:rsidRPr="00E5580C">
        <w:rPr>
          <w:rFonts w:ascii="Times New Roman" w:hAnsi="Times New Roman" w:cs="Times New Roman"/>
          <w:b/>
          <w:sz w:val="28"/>
          <w:szCs w:val="28"/>
          <w:shd w:val="clear" w:color="auto" w:fill="FFFFFF"/>
        </w:rPr>
        <w:t xml:space="preserve"> </w:t>
      </w:r>
    </w:p>
    <w:p w:rsidR="00062F8D" w:rsidRPr="00E5580C" w:rsidRDefault="00062F8D" w:rsidP="00062F8D">
      <w:pPr>
        <w:pStyle w:val="Style1"/>
        <w:rPr>
          <w:rFonts w:ascii="Times New Roman" w:hAnsi="Times New Roman" w:cs="Times New Roman"/>
          <w:b/>
          <w:sz w:val="28"/>
          <w:szCs w:val="28"/>
          <w:shd w:val="clear" w:color="auto" w:fill="FFFFFF"/>
        </w:rPr>
      </w:pPr>
      <w:r w:rsidRPr="00E5580C">
        <w:rPr>
          <w:rFonts w:ascii="Times New Roman" w:hAnsi="Times New Roman" w:cs="Times New Roman"/>
          <w:i/>
          <w:sz w:val="28"/>
          <w:szCs w:val="28"/>
          <w:shd w:val="clear" w:color="auto" w:fill="FFFFFF"/>
        </w:rPr>
        <w:t>Л</w:t>
      </w:r>
      <w:hyperlink r:id="rId7" w:tooltip="Лісова промисловість" w:history="1">
        <w:r w:rsidRPr="00E5580C">
          <w:rPr>
            <w:rFonts w:ascii="Times New Roman" w:hAnsi="Times New Roman" w:cs="Times New Roman"/>
            <w:i/>
            <w:sz w:val="28"/>
            <w:szCs w:val="28"/>
            <w:shd w:val="clear" w:color="auto" w:fill="FFFFFF"/>
          </w:rPr>
          <w:t>ісове господарство</w:t>
        </w:r>
      </w:hyperlink>
      <w:r w:rsidRPr="00E5580C">
        <w:rPr>
          <w:rFonts w:ascii="Times New Roman" w:hAnsi="Times New Roman" w:cs="Times New Roman"/>
          <w:i/>
          <w:sz w:val="28"/>
          <w:szCs w:val="28"/>
          <w:shd w:val="clear" w:color="auto" w:fill="FFFFFF"/>
        </w:rPr>
        <w:t>.</w:t>
      </w:r>
    </w:p>
    <w:p w:rsidR="00062F8D" w:rsidRPr="00E5580C" w:rsidRDefault="00062F8D" w:rsidP="00062F8D">
      <w:pPr>
        <w:pStyle w:val="Style1"/>
        <w:rPr>
          <w:rFonts w:ascii="Times New Roman" w:hAnsi="Times New Roman" w:cs="Times New Roman"/>
          <w:sz w:val="28"/>
          <w:szCs w:val="28"/>
        </w:rPr>
      </w:pPr>
      <w:r w:rsidRPr="00E5580C">
        <w:rPr>
          <w:rFonts w:ascii="Times New Roman" w:hAnsi="Times New Roman" w:cs="Times New Roman"/>
          <w:sz w:val="28"/>
          <w:szCs w:val="28"/>
        </w:rPr>
        <w:t>Із загальної площі Золочівської міської територіальної громади  лісове господарство займає 17 054,3 га (27%). Такий значний відсоток лісових ресурсів дає можливість місцевій економіці активно розвивати лісівництво та деревообробну промисловість.</w:t>
      </w:r>
    </w:p>
    <w:p w:rsidR="00062F8D" w:rsidRPr="00E5580C" w:rsidRDefault="00062F8D" w:rsidP="00062F8D">
      <w:pPr>
        <w:pStyle w:val="Style1"/>
        <w:rPr>
          <w:rFonts w:ascii="Times New Roman" w:hAnsi="Times New Roman" w:cs="Times New Roman"/>
          <w:sz w:val="28"/>
          <w:szCs w:val="28"/>
        </w:rPr>
      </w:pPr>
      <w:r w:rsidRPr="00E5580C">
        <w:rPr>
          <w:rFonts w:ascii="Times New Roman" w:hAnsi="Times New Roman" w:cs="Times New Roman"/>
          <w:sz w:val="28"/>
          <w:szCs w:val="28"/>
        </w:rPr>
        <w:t>Лісове господарство міської територіальної громади представляють 2 суб’єкти господарської діяльності  - Золочівське дочірнє лісогосподарське підприємство ЛГП «Галсільліс» та ДП «Золочівський лісгосп», в яких зайнято більше 200 працівників.</w:t>
      </w:r>
    </w:p>
    <w:p w:rsidR="00062F8D" w:rsidRPr="00E5580C" w:rsidRDefault="00062F8D" w:rsidP="00062F8D">
      <w:pPr>
        <w:pStyle w:val="Style1"/>
        <w:rPr>
          <w:rFonts w:ascii="Times New Roman" w:hAnsi="Times New Roman" w:cs="Times New Roman"/>
          <w:i/>
          <w:sz w:val="28"/>
          <w:szCs w:val="28"/>
          <w:lang w:eastAsia="uk-UA"/>
        </w:rPr>
      </w:pPr>
      <w:r w:rsidRPr="00E5580C">
        <w:rPr>
          <w:rFonts w:ascii="Times New Roman" w:hAnsi="Times New Roman" w:cs="Times New Roman"/>
          <w:i/>
          <w:sz w:val="28"/>
          <w:szCs w:val="28"/>
          <w:lang w:eastAsia="uk-UA"/>
        </w:rPr>
        <w:t xml:space="preserve">Будівництво. </w:t>
      </w:r>
    </w:p>
    <w:p w:rsidR="00062F8D" w:rsidRPr="00E5580C" w:rsidRDefault="00062F8D" w:rsidP="00062F8D">
      <w:pPr>
        <w:pStyle w:val="Style1"/>
        <w:rPr>
          <w:rFonts w:ascii="Times New Roman" w:hAnsi="Times New Roman" w:cs="Times New Roman"/>
          <w:sz w:val="28"/>
          <w:szCs w:val="28"/>
          <w:lang w:eastAsia="uk-UA"/>
        </w:rPr>
      </w:pPr>
      <w:r w:rsidRPr="00E5580C">
        <w:rPr>
          <w:rFonts w:ascii="Times New Roman" w:hAnsi="Times New Roman" w:cs="Times New Roman"/>
          <w:sz w:val="28"/>
          <w:szCs w:val="28"/>
          <w:lang w:eastAsia="uk-UA"/>
        </w:rPr>
        <w:t>Будівельна галузь у Золочівській громаді представлена 19  підприємствами, які спеціалізуються на житловому будівництві та будівництві (ремонті) доріг, а також 9 фізичними особами-підприємцями (які мають в своєму складі найманих працівників). Найбільшими суб</w:t>
      </w:r>
      <w:r w:rsidRPr="00E5580C">
        <w:rPr>
          <w:rFonts w:ascii="Times New Roman" w:hAnsi="Times New Roman" w:cs="Times New Roman"/>
          <w:sz w:val="28"/>
          <w:szCs w:val="28"/>
          <w:lang w:val="en-US" w:eastAsia="uk-UA"/>
        </w:rPr>
        <w:t>’</w:t>
      </w:r>
      <w:r w:rsidRPr="00E5580C">
        <w:rPr>
          <w:rFonts w:ascii="Times New Roman" w:hAnsi="Times New Roman" w:cs="Times New Roman"/>
          <w:sz w:val="28"/>
          <w:szCs w:val="28"/>
          <w:lang w:eastAsia="uk-UA"/>
        </w:rPr>
        <w:t xml:space="preserve">єктами господарської діяльності в будівельній галузі можна назвати ПП "Галкомсервіс" (69 працівників) та ТЗОВ "Золочівагробуд" (54 працівники). </w:t>
      </w:r>
    </w:p>
    <w:p w:rsidR="00062F8D" w:rsidRPr="00E5580C" w:rsidRDefault="00062F8D" w:rsidP="00062F8D">
      <w:pPr>
        <w:pStyle w:val="Style1"/>
        <w:rPr>
          <w:rFonts w:ascii="Times New Roman" w:hAnsi="Times New Roman" w:cs="Times New Roman"/>
          <w:i/>
          <w:sz w:val="28"/>
          <w:szCs w:val="28"/>
          <w:lang w:eastAsia="uk-UA"/>
        </w:rPr>
      </w:pPr>
      <w:r w:rsidRPr="00E5580C">
        <w:rPr>
          <w:rFonts w:ascii="Times New Roman" w:hAnsi="Times New Roman" w:cs="Times New Roman"/>
          <w:i/>
          <w:sz w:val="28"/>
          <w:szCs w:val="28"/>
          <w:lang w:eastAsia="uk-UA"/>
        </w:rPr>
        <w:t>Легка промисловість.</w:t>
      </w:r>
    </w:p>
    <w:p w:rsidR="00062F8D" w:rsidRPr="00E5580C" w:rsidRDefault="00062F8D" w:rsidP="00062F8D">
      <w:pPr>
        <w:pStyle w:val="Style1"/>
        <w:rPr>
          <w:rFonts w:ascii="Times New Roman" w:hAnsi="Times New Roman" w:cs="Times New Roman"/>
          <w:sz w:val="28"/>
          <w:szCs w:val="28"/>
          <w:lang w:eastAsia="uk-UA"/>
        </w:rPr>
      </w:pPr>
      <w:r w:rsidRPr="00E5580C">
        <w:rPr>
          <w:rFonts w:ascii="Times New Roman" w:hAnsi="Times New Roman" w:cs="Times New Roman"/>
          <w:sz w:val="28"/>
          <w:szCs w:val="28"/>
          <w:lang w:eastAsia="uk-UA"/>
        </w:rPr>
        <w:t>Легка промисловість представлена 7 підприємствами та 3 фізичними особами-підприємцями (які мають в своєму складі найманих працівників). Лідером серед підприємств цієї категорії є ТЗОВ "Альтеко-захід", основна діяльність якого - виготовлення та продаж нетканих полотен (синтипону), у тому числі на експорт.</w:t>
      </w:r>
      <w:r w:rsidRPr="00E5580C">
        <w:rPr>
          <w:rFonts w:ascii="Times New Roman" w:hAnsi="Times New Roman" w:cs="Times New Roman"/>
          <w:sz w:val="28"/>
          <w:szCs w:val="28"/>
        </w:rPr>
        <w:t xml:space="preserve"> </w:t>
      </w:r>
      <w:r w:rsidRPr="00E5580C">
        <w:rPr>
          <w:rFonts w:ascii="Times New Roman" w:hAnsi="Times New Roman" w:cs="Times New Roman"/>
          <w:sz w:val="28"/>
          <w:szCs w:val="28"/>
          <w:lang w:eastAsia="uk-UA"/>
        </w:rPr>
        <w:t>ВАТ “Золочівська швейна фабрика”, заснована ще у 1954 році, на сьогодні значно скоротила свої обсяги виробництва, а кількість працівників складає 12 осіб проти 320 у 2011 році. Інші підприємства галузі ПП "Новелті", ПП "Колорит", ПП "Палітра", ТОВ "Золотекс" та ПП "Контур"  займаються пошиттям та продажами одягу.</w:t>
      </w:r>
    </w:p>
    <w:p w:rsidR="00062F8D" w:rsidRPr="00E5580C" w:rsidRDefault="00062F8D" w:rsidP="00062F8D">
      <w:pPr>
        <w:pStyle w:val="ab"/>
        <w:ind w:firstLine="426"/>
        <w:jc w:val="both"/>
        <w:rPr>
          <w:rFonts w:ascii="Times New Roman" w:hAnsi="Times New Roman" w:cs="Times New Roman"/>
          <w:i/>
          <w:sz w:val="28"/>
          <w:szCs w:val="28"/>
          <w:lang w:eastAsia="uk-UA"/>
        </w:rPr>
      </w:pPr>
      <w:r w:rsidRPr="00E5580C">
        <w:rPr>
          <w:rFonts w:ascii="Times New Roman" w:hAnsi="Times New Roman" w:cs="Times New Roman"/>
          <w:i/>
          <w:sz w:val="28"/>
          <w:szCs w:val="28"/>
          <w:lang w:eastAsia="uk-UA"/>
        </w:rPr>
        <w:t>Деревообробна промисловість:</w:t>
      </w:r>
    </w:p>
    <w:p w:rsidR="00062F8D" w:rsidRPr="00E5580C" w:rsidRDefault="00062F8D" w:rsidP="00062F8D">
      <w:pPr>
        <w:pStyle w:val="ab"/>
        <w:ind w:firstLine="426"/>
        <w:jc w:val="both"/>
        <w:rPr>
          <w:rFonts w:ascii="Times New Roman" w:hAnsi="Times New Roman" w:cs="Times New Roman"/>
          <w:b/>
          <w:sz w:val="28"/>
          <w:szCs w:val="28"/>
          <w:lang w:eastAsia="uk-UA"/>
        </w:rPr>
      </w:pPr>
      <w:r w:rsidRPr="00E5580C">
        <w:rPr>
          <w:rFonts w:ascii="Times New Roman" w:hAnsi="Times New Roman" w:cs="Times New Roman"/>
          <w:sz w:val="28"/>
          <w:szCs w:val="28"/>
          <w:lang w:eastAsia="uk-UA"/>
        </w:rPr>
        <w:lastRenderedPageBreak/>
        <w:t xml:space="preserve">В деревообробній промисловості громади працює лише 3 фізичні особи </w:t>
      </w:r>
      <w:r w:rsidR="00C616DB" w:rsidRPr="00E5580C">
        <w:rPr>
          <w:rFonts w:ascii="Times New Roman" w:hAnsi="Times New Roman" w:cs="Times New Roman"/>
          <w:sz w:val="28"/>
          <w:szCs w:val="28"/>
          <w:lang w:eastAsia="uk-UA"/>
        </w:rPr>
        <w:t>- підприємці</w:t>
      </w:r>
      <w:r w:rsidRPr="00E5580C">
        <w:rPr>
          <w:rFonts w:ascii="Times New Roman" w:hAnsi="Times New Roman" w:cs="Times New Roman"/>
          <w:sz w:val="28"/>
          <w:szCs w:val="28"/>
          <w:lang w:eastAsia="uk-UA"/>
        </w:rPr>
        <w:t>, з яких за економічними показниками виділяється ФОП Крупський Р. А. (близько 300 працівників).</w:t>
      </w:r>
    </w:p>
    <w:p w:rsidR="00062F8D" w:rsidRPr="00E5580C" w:rsidRDefault="00062F8D" w:rsidP="00062F8D">
      <w:pPr>
        <w:pStyle w:val="Style1"/>
        <w:rPr>
          <w:rFonts w:ascii="Times New Roman" w:hAnsi="Times New Roman" w:cs="Times New Roman"/>
          <w:i/>
          <w:sz w:val="28"/>
          <w:szCs w:val="28"/>
          <w:lang w:eastAsia="uk-UA"/>
        </w:rPr>
      </w:pPr>
      <w:r w:rsidRPr="00E5580C">
        <w:rPr>
          <w:rFonts w:ascii="Times New Roman" w:hAnsi="Times New Roman" w:cs="Times New Roman"/>
          <w:i/>
          <w:sz w:val="28"/>
          <w:szCs w:val="28"/>
          <w:lang w:eastAsia="uk-UA"/>
        </w:rPr>
        <w:t>Галузь машинобудування.</w:t>
      </w:r>
    </w:p>
    <w:p w:rsidR="00062F8D" w:rsidRPr="00E5580C" w:rsidRDefault="00062F8D" w:rsidP="00062F8D">
      <w:pPr>
        <w:pStyle w:val="Style1"/>
        <w:rPr>
          <w:rFonts w:ascii="Times New Roman" w:hAnsi="Times New Roman" w:cs="Times New Roman"/>
          <w:b/>
          <w:i/>
          <w:sz w:val="28"/>
          <w:szCs w:val="28"/>
          <w:lang w:eastAsia="uk-UA"/>
        </w:rPr>
      </w:pPr>
      <w:r w:rsidRPr="00E5580C">
        <w:rPr>
          <w:rFonts w:ascii="Times New Roman" w:hAnsi="Times New Roman" w:cs="Times New Roman"/>
          <w:sz w:val="28"/>
          <w:szCs w:val="28"/>
          <w:lang w:eastAsia="uk-UA"/>
        </w:rPr>
        <w:t xml:space="preserve">Найбільш потужним  представником даної галузі є ТзОВ «Електроконтакт України» (виробництво електричних кабельних мереж до автомобілів концернів BMW). Продукція ТзОВ «Електроконтакт України» експортується в Німеччину. </w:t>
      </w:r>
    </w:p>
    <w:p w:rsidR="00062F8D" w:rsidRPr="00E5580C" w:rsidRDefault="00062F8D" w:rsidP="00062F8D">
      <w:pPr>
        <w:pStyle w:val="Style1"/>
        <w:rPr>
          <w:rFonts w:ascii="Times New Roman" w:hAnsi="Times New Roman" w:cs="Times New Roman"/>
          <w:bCs/>
          <w:i/>
          <w:sz w:val="28"/>
          <w:szCs w:val="28"/>
          <w:lang w:eastAsia="uk-UA"/>
        </w:rPr>
      </w:pPr>
      <w:r w:rsidRPr="00E5580C">
        <w:rPr>
          <w:rFonts w:ascii="Times New Roman" w:hAnsi="Times New Roman" w:cs="Times New Roman"/>
          <w:bCs/>
          <w:i/>
          <w:sz w:val="28"/>
          <w:szCs w:val="28"/>
          <w:lang w:eastAsia="uk-UA"/>
        </w:rPr>
        <w:t>Харчова промисловість.</w:t>
      </w:r>
    </w:p>
    <w:p w:rsidR="00062F8D" w:rsidRPr="00E5580C" w:rsidRDefault="00062F8D" w:rsidP="00062F8D">
      <w:pPr>
        <w:pStyle w:val="Style1"/>
        <w:rPr>
          <w:rFonts w:ascii="Times New Roman" w:eastAsia="Times New Roman" w:hAnsi="Times New Roman" w:cs="Times New Roman"/>
          <w:sz w:val="28"/>
          <w:szCs w:val="28"/>
          <w:lang w:eastAsia="uk-UA"/>
        </w:rPr>
      </w:pPr>
      <w:r w:rsidRPr="00E5580C">
        <w:rPr>
          <w:rFonts w:ascii="Times New Roman" w:hAnsi="Times New Roman" w:cs="Times New Roman"/>
          <w:b/>
          <w:bCs/>
          <w:i/>
          <w:sz w:val="28"/>
          <w:szCs w:val="28"/>
          <w:lang w:eastAsia="uk-UA"/>
        </w:rPr>
        <w:t xml:space="preserve"> </w:t>
      </w:r>
      <w:r w:rsidRPr="00E5580C">
        <w:rPr>
          <w:rFonts w:ascii="Times New Roman" w:hAnsi="Times New Roman" w:cs="Times New Roman"/>
          <w:sz w:val="28"/>
          <w:szCs w:val="28"/>
          <w:lang w:eastAsia="uk-UA"/>
        </w:rPr>
        <w:t xml:space="preserve">На території Золочівської міської територіальної громади в сфері виробництва харчових продуктів та напоїв виробничу діяльність здійснюють </w:t>
      </w:r>
      <w:r w:rsidRPr="00E5580C">
        <w:rPr>
          <w:rFonts w:ascii="Times New Roman" w:eastAsia="Times New Roman" w:hAnsi="Times New Roman" w:cs="Times New Roman"/>
          <w:sz w:val="28"/>
          <w:szCs w:val="28"/>
          <w:lang w:eastAsia="uk-UA"/>
        </w:rPr>
        <w:t xml:space="preserve"> 9 юридичних осіб та 9 фізичних осіб-підприємців.</w:t>
      </w:r>
    </w:p>
    <w:p w:rsidR="00062F8D" w:rsidRPr="00E5580C" w:rsidRDefault="00062F8D" w:rsidP="00062F8D">
      <w:pPr>
        <w:pStyle w:val="Style1"/>
        <w:rPr>
          <w:rFonts w:ascii="Times New Roman" w:eastAsia="Times New Roman" w:hAnsi="Times New Roman" w:cs="Times New Roman"/>
          <w:bCs/>
          <w:sz w:val="28"/>
          <w:szCs w:val="28"/>
          <w:lang w:eastAsia="uk-UA"/>
        </w:rPr>
      </w:pPr>
      <w:r w:rsidRPr="00E5580C">
        <w:rPr>
          <w:rFonts w:ascii="Times New Roman" w:eastAsia="Times New Roman" w:hAnsi="Times New Roman" w:cs="Times New Roman"/>
          <w:sz w:val="28"/>
          <w:szCs w:val="28"/>
          <w:lang w:eastAsia="uk-UA"/>
        </w:rPr>
        <w:t xml:space="preserve"> У 2020 році  ТзОВ "Д-Мікс Україна"  було реорганізовано у ТОВ "Коудайс Україна" (більше 90 працівників), яке на протязі років нарощувало виробництво готових кормів для тварин та олії. Окрім того, в харчовій галузі громади сконцентровані інші підприємства, які є основними бюджетоутворюючими</w:t>
      </w:r>
      <w:r w:rsidR="0037072E">
        <w:rPr>
          <w:rFonts w:ascii="Times New Roman" w:eastAsia="Times New Roman" w:hAnsi="Times New Roman" w:cs="Times New Roman"/>
          <w:sz w:val="28"/>
          <w:szCs w:val="28"/>
          <w:lang w:eastAsia="uk-UA"/>
        </w:rPr>
        <w:t>,</w:t>
      </w:r>
      <w:r w:rsidRPr="00E5580C">
        <w:rPr>
          <w:rFonts w:ascii="Times New Roman" w:eastAsia="Times New Roman" w:hAnsi="Times New Roman" w:cs="Times New Roman"/>
          <w:sz w:val="28"/>
          <w:szCs w:val="28"/>
          <w:lang w:eastAsia="uk-UA"/>
        </w:rPr>
        <w:t xml:space="preserve"> підприємства Золочівської</w:t>
      </w:r>
      <w:r w:rsidR="0037072E">
        <w:rPr>
          <w:rFonts w:ascii="Times New Roman" w:eastAsia="Times New Roman" w:hAnsi="Times New Roman" w:cs="Times New Roman"/>
          <w:sz w:val="28"/>
          <w:szCs w:val="28"/>
          <w:lang w:eastAsia="uk-UA"/>
        </w:rPr>
        <w:t xml:space="preserve"> міської територіальної громади з</w:t>
      </w:r>
      <w:r w:rsidRPr="00E5580C">
        <w:rPr>
          <w:rFonts w:ascii="Times New Roman" w:eastAsia="Times New Roman" w:hAnsi="Times New Roman" w:cs="Times New Roman"/>
          <w:sz w:val="28"/>
          <w:szCs w:val="28"/>
          <w:lang w:eastAsia="uk-UA"/>
        </w:rPr>
        <w:t>окрема: ТзОВ "Карпатські мінеральні води" (192 працівники),  ТзОВ "Д-Мікс" (102 працівники). Серед значимих підприємств галузі також числиться і Струтинське МПД ДП "Укрспирт"</w:t>
      </w:r>
      <w:r w:rsidRPr="00E5580C">
        <w:rPr>
          <w:rFonts w:ascii="Times New Roman" w:eastAsia="Times New Roman" w:hAnsi="Times New Roman" w:cs="Times New Roman"/>
          <w:bCs/>
          <w:sz w:val="28"/>
          <w:szCs w:val="28"/>
          <w:lang w:eastAsia="uk-UA"/>
        </w:rPr>
        <w:t>.</w:t>
      </w:r>
    </w:p>
    <w:p w:rsidR="00062F8D" w:rsidRPr="00E5580C" w:rsidRDefault="00062F8D" w:rsidP="00062F8D">
      <w:pPr>
        <w:pStyle w:val="Style1"/>
        <w:shd w:val="clear" w:color="auto" w:fill="FFFFFF" w:themeFill="background1"/>
        <w:ind w:firstLine="425"/>
        <w:rPr>
          <w:rFonts w:ascii="Times New Roman" w:hAnsi="Times New Roman" w:cs="Times New Roman"/>
          <w:b/>
          <w:i/>
          <w:sz w:val="28"/>
          <w:szCs w:val="28"/>
        </w:rPr>
      </w:pPr>
      <w:r w:rsidRPr="00E5580C">
        <w:rPr>
          <w:rFonts w:ascii="Times New Roman" w:hAnsi="Times New Roman" w:cs="Times New Roman"/>
          <w:i/>
          <w:sz w:val="28"/>
          <w:szCs w:val="28"/>
        </w:rPr>
        <w:t>Торгівля.</w:t>
      </w:r>
    </w:p>
    <w:p w:rsidR="00062F8D" w:rsidRPr="00E5580C" w:rsidRDefault="00062F8D" w:rsidP="00062F8D">
      <w:pPr>
        <w:pStyle w:val="Style1"/>
        <w:shd w:val="clear" w:color="auto" w:fill="FFFFFF" w:themeFill="background1"/>
        <w:ind w:firstLine="425"/>
        <w:rPr>
          <w:rFonts w:ascii="Times New Roman" w:hAnsi="Times New Roman" w:cs="Times New Roman"/>
          <w:sz w:val="28"/>
          <w:szCs w:val="28"/>
        </w:rPr>
      </w:pPr>
      <w:r w:rsidRPr="00E5580C">
        <w:rPr>
          <w:rFonts w:ascii="Times New Roman" w:hAnsi="Times New Roman" w:cs="Times New Roman"/>
          <w:b/>
          <w:i/>
          <w:sz w:val="28"/>
          <w:szCs w:val="28"/>
        </w:rPr>
        <w:t xml:space="preserve"> </w:t>
      </w:r>
      <w:r w:rsidRPr="00E5580C">
        <w:rPr>
          <w:rFonts w:ascii="Times New Roman" w:hAnsi="Times New Roman" w:cs="Times New Roman"/>
          <w:sz w:val="28"/>
          <w:szCs w:val="28"/>
        </w:rPr>
        <w:t>Сфера торгівлі налічує 48 суб’єктів господарської діяльності – юридичних осіб та 164 фізичних осіб-підприємців. Серед найбільш значимих СГД у сфері торгівлі (за результатами оподаткування у 2020 році) можна назвати ТЗОВ "Золочів ТХ", Львівська філія ТзОВ "Торговий дім "Карпатські мінеральні води", ПП "Віта-агро". Серед фізичних осіб-підприємців у сфері торгівлі можна виділити ФОП Сич Н. Б. (роздрібна торгівля).</w:t>
      </w:r>
    </w:p>
    <w:p w:rsidR="00062F8D" w:rsidRPr="00E5580C" w:rsidRDefault="00062F8D" w:rsidP="00062F8D">
      <w:pPr>
        <w:pStyle w:val="Style1"/>
        <w:shd w:val="clear" w:color="auto" w:fill="FFFFFF" w:themeFill="background1"/>
        <w:ind w:firstLine="425"/>
        <w:rPr>
          <w:rFonts w:ascii="Times New Roman" w:hAnsi="Times New Roman" w:cs="Times New Roman"/>
          <w:i/>
          <w:sz w:val="28"/>
          <w:szCs w:val="28"/>
          <w:lang w:eastAsia="uk-UA"/>
        </w:rPr>
      </w:pPr>
      <w:r w:rsidRPr="00E5580C">
        <w:rPr>
          <w:rFonts w:ascii="Times New Roman" w:hAnsi="Times New Roman" w:cs="Times New Roman"/>
          <w:i/>
          <w:sz w:val="28"/>
          <w:szCs w:val="28"/>
          <w:lang w:eastAsia="uk-UA"/>
        </w:rPr>
        <w:t>Транспорт та зв’язок.</w:t>
      </w:r>
    </w:p>
    <w:p w:rsidR="00062F8D" w:rsidRPr="00E5580C" w:rsidRDefault="00062F8D" w:rsidP="00062F8D">
      <w:pPr>
        <w:pStyle w:val="Style1"/>
        <w:shd w:val="clear" w:color="auto" w:fill="FFFFFF" w:themeFill="background1"/>
        <w:ind w:firstLine="425"/>
        <w:rPr>
          <w:rFonts w:ascii="Times New Roman" w:hAnsi="Times New Roman" w:cs="Times New Roman"/>
          <w:b/>
          <w:i/>
          <w:sz w:val="28"/>
          <w:szCs w:val="28"/>
          <w:lang w:eastAsia="uk-UA"/>
        </w:rPr>
      </w:pPr>
      <w:r w:rsidRPr="00E5580C">
        <w:rPr>
          <w:rFonts w:ascii="Times New Roman" w:hAnsi="Times New Roman" w:cs="Times New Roman"/>
          <w:b/>
          <w:i/>
          <w:sz w:val="28"/>
          <w:szCs w:val="28"/>
          <w:lang w:eastAsia="uk-UA"/>
        </w:rPr>
        <w:t xml:space="preserve"> </w:t>
      </w:r>
      <w:r w:rsidRPr="00E5580C">
        <w:rPr>
          <w:rFonts w:ascii="Times New Roman" w:hAnsi="Times New Roman" w:cs="Times New Roman"/>
          <w:sz w:val="28"/>
          <w:szCs w:val="28"/>
          <w:lang w:eastAsia="uk-UA"/>
        </w:rPr>
        <w:t>Ця складова являє собою складову частину комплексу інфраструктурних галузей, які є важливим інструментом для досягнення соціальних та економічних пріоритетів регіону, здійснення зовнішньоекономічних зв’язків, що  забезпечують базові умови для життєдіяльності громади.  Насамперед вагомий   внесок  в розвиток даної галузі в Золочівській міській територіальній громаді, а також її господарсько-економічної діяльності, відіграє наявність територіально вигідних зовнішніх транспортних шляхів сполучення та поєднання різних видів наземного транспорту,  автомобільного та залізничного. Це дає змогу задовольняти   потреби виробництва і населення у вантажних та  пасажирських перевезеннях.</w:t>
      </w:r>
    </w:p>
    <w:p w:rsidR="00062F8D" w:rsidRPr="00E5580C" w:rsidRDefault="00062F8D" w:rsidP="00062F8D">
      <w:pPr>
        <w:shd w:val="clear" w:color="auto" w:fill="FFFFFF" w:themeFill="background1"/>
        <w:tabs>
          <w:tab w:val="left" w:pos="425"/>
          <w:tab w:val="left" w:pos="851"/>
          <w:tab w:val="left" w:pos="993"/>
        </w:tabs>
        <w:spacing w:after="0" w:line="240" w:lineRule="auto"/>
        <w:ind w:firstLine="425"/>
        <w:jc w:val="both"/>
        <w:rPr>
          <w:rFonts w:eastAsia="Times New Roman" w:cs="Times New Roman"/>
          <w:bCs/>
          <w:szCs w:val="28"/>
          <w:lang w:eastAsia="uk-UA"/>
        </w:rPr>
      </w:pPr>
      <w:r w:rsidRPr="00E5580C">
        <w:rPr>
          <w:rFonts w:eastAsia="Times New Roman" w:cs="Times New Roman"/>
          <w:bCs/>
          <w:szCs w:val="28"/>
          <w:lang w:eastAsia="uk-UA"/>
        </w:rPr>
        <w:t xml:space="preserve">Сфера наземного транспорту представлена на території громади 9 підприємствами та 29 фізичними особами-підприємцями. Надання послуг автомобільних пасажирських перевезень жителям району здійснюють такі підприємства як: ТДВ “Золочівське АТП – 14611”, ТзОВ „ЗолочівАвтоТранс”, ТзОВ “Насорох”, ПП “АТП-Завада”, ПП “Вест-Авто”, ПАТ “Львівське АТП – 14630”, ТзОВ “Бродівське АТП – 14610”. </w:t>
      </w:r>
    </w:p>
    <w:p w:rsidR="00062F8D" w:rsidRPr="00E5580C" w:rsidRDefault="00062F8D" w:rsidP="00062F8D">
      <w:pPr>
        <w:shd w:val="clear" w:color="auto" w:fill="FFFFFF" w:themeFill="background1"/>
        <w:tabs>
          <w:tab w:val="left" w:pos="425"/>
          <w:tab w:val="left" w:pos="851"/>
          <w:tab w:val="left" w:pos="993"/>
        </w:tabs>
        <w:spacing w:after="0" w:line="240" w:lineRule="auto"/>
        <w:ind w:firstLine="425"/>
        <w:jc w:val="both"/>
        <w:rPr>
          <w:rFonts w:eastAsia="Times New Roman" w:cs="Times New Roman"/>
          <w:bCs/>
          <w:szCs w:val="28"/>
          <w:lang w:eastAsia="uk-UA"/>
        </w:rPr>
      </w:pPr>
      <w:r w:rsidRPr="00E5580C">
        <w:rPr>
          <w:rFonts w:eastAsia="Times New Roman" w:cs="Times New Roman"/>
          <w:bCs/>
          <w:szCs w:val="28"/>
          <w:lang w:eastAsia="uk-UA"/>
        </w:rPr>
        <w:t>Також діє низка підприємств в сфері зв’язку, зокрема Золочівське відділення ПАТ «Укрпошта»,  ТОВ "Нова Пошта", Золочівське відділення ПАТ "Укртелеком".</w:t>
      </w:r>
    </w:p>
    <w:p w:rsidR="00062F8D" w:rsidRPr="00E5580C" w:rsidRDefault="00062F8D" w:rsidP="00062F8D">
      <w:pPr>
        <w:shd w:val="clear" w:color="auto" w:fill="FFFFFF" w:themeFill="background1"/>
        <w:tabs>
          <w:tab w:val="left" w:pos="425"/>
          <w:tab w:val="left" w:pos="851"/>
          <w:tab w:val="left" w:pos="993"/>
        </w:tabs>
        <w:spacing w:after="0" w:line="240" w:lineRule="auto"/>
        <w:ind w:firstLine="425"/>
        <w:jc w:val="both"/>
        <w:rPr>
          <w:rFonts w:eastAsia="Times New Roman" w:cs="Times New Roman"/>
          <w:bCs/>
          <w:szCs w:val="28"/>
          <w:lang w:eastAsia="uk-UA"/>
        </w:rPr>
      </w:pPr>
    </w:p>
    <w:p w:rsidR="00062F8D" w:rsidRPr="00E5580C" w:rsidRDefault="00062F8D" w:rsidP="00062F8D">
      <w:pPr>
        <w:shd w:val="clear" w:color="auto" w:fill="FFFFFF" w:themeFill="background1"/>
        <w:tabs>
          <w:tab w:val="left" w:pos="425"/>
          <w:tab w:val="left" w:pos="851"/>
          <w:tab w:val="left" w:pos="993"/>
        </w:tabs>
        <w:spacing w:after="0" w:line="240" w:lineRule="auto"/>
        <w:ind w:firstLine="425"/>
        <w:jc w:val="both"/>
        <w:rPr>
          <w:rFonts w:eastAsia="Times New Roman" w:cs="Times New Roman"/>
          <w:bCs/>
          <w:szCs w:val="28"/>
          <w:lang w:eastAsia="uk-UA"/>
        </w:rPr>
      </w:pPr>
    </w:p>
    <w:p w:rsidR="00062F8D" w:rsidRPr="00E5580C" w:rsidRDefault="00062F8D" w:rsidP="00062F8D">
      <w:pPr>
        <w:shd w:val="clear" w:color="auto" w:fill="FFFFFF" w:themeFill="background1"/>
        <w:tabs>
          <w:tab w:val="left" w:pos="425"/>
          <w:tab w:val="left" w:pos="851"/>
          <w:tab w:val="left" w:pos="993"/>
        </w:tabs>
        <w:spacing w:after="0" w:line="240" w:lineRule="auto"/>
        <w:ind w:firstLine="425"/>
        <w:jc w:val="both"/>
        <w:rPr>
          <w:rFonts w:eastAsia="Times New Roman" w:cs="Times New Roman"/>
          <w:bCs/>
          <w:szCs w:val="28"/>
          <w:lang w:eastAsia="uk-UA"/>
        </w:rPr>
      </w:pPr>
      <w:r w:rsidRPr="00E5580C">
        <w:rPr>
          <w:rFonts w:eastAsia="Times New Roman" w:cs="Times New Roman"/>
          <w:bCs/>
          <w:szCs w:val="28"/>
          <w:lang w:eastAsia="uk-UA"/>
        </w:rPr>
        <w:t>В громаді є передумови для нарощування промислового потенціалу за рахунок вільних трудових ресурсів та наявності територій, які можуть бути використані під розміщення виробництв.</w:t>
      </w:r>
    </w:p>
    <w:p w:rsidR="00062F8D" w:rsidRPr="00E5580C" w:rsidRDefault="00062F8D" w:rsidP="00062F8D">
      <w:pPr>
        <w:tabs>
          <w:tab w:val="left" w:pos="425"/>
          <w:tab w:val="left" w:pos="993"/>
        </w:tabs>
        <w:spacing w:after="0" w:line="240" w:lineRule="auto"/>
        <w:ind w:firstLine="426"/>
        <w:jc w:val="both"/>
        <w:rPr>
          <w:rFonts w:cs="Times New Roman"/>
          <w:szCs w:val="28"/>
        </w:rPr>
      </w:pPr>
      <w:r w:rsidRPr="00E5580C">
        <w:rPr>
          <w:rFonts w:cs="Times New Roman"/>
          <w:szCs w:val="28"/>
        </w:rPr>
        <w:t>На сьогодні ведуться переговори щодо будівництва на території громади заводу із виготовлення напоїв, де буд</w:t>
      </w:r>
      <w:r w:rsidR="00450903" w:rsidRPr="00E5580C">
        <w:rPr>
          <w:rFonts w:cs="Times New Roman"/>
          <w:szCs w:val="28"/>
        </w:rPr>
        <w:t>уть</w:t>
      </w:r>
      <w:r w:rsidRPr="00E5580C">
        <w:rPr>
          <w:rFonts w:cs="Times New Roman"/>
          <w:szCs w:val="28"/>
        </w:rPr>
        <w:t xml:space="preserve"> </w:t>
      </w:r>
      <w:r w:rsidR="00C616DB" w:rsidRPr="00E5580C">
        <w:rPr>
          <w:rFonts w:cs="Times New Roman"/>
          <w:szCs w:val="28"/>
        </w:rPr>
        <w:t>працевлаштовані</w:t>
      </w:r>
      <w:r w:rsidRPr="00E5580C">
        <w:rPr>
          <w:rFonts w:cs="Times New Roman"/>
          <w:szCs w:val="28"/>
        </w:rPr>
        <w:t xml:space="preserve"> близько 400 осіб.</w:t>
      </w:r>
    </w:p>
    <w:p w:rsidR="00062F8D" w:rsidRPr="00E5580C" w:rsidRDefault="00062F8D" w:rsidP="00062F8D">
      <w:pPr>
        <w:shd w:val="clear" w:color="auto" w:fill="FFFFFF" w:themeFill="background1"/>
        <w:tabs>
          <w:tab w:val="left" w:pos="425"/>
          <w:tab w:val="left" w:pos="851"/>
          <w:tab w:val="left" w:pos="993"/>
        </w:tabs>
        <w:spacing w:after="0" w:line="240" w:lineRule="auto"/>
        <w:ind w:firstLine="425"/>
        <w:jc w:val="both"/>
        <w:rPr>
          <w:rFonts w:eastAsia="Times New Roman" w:cs="Times New Roman"/>
          <w:bCs/>
          <w:szCs w:val="28"/>
          <w:lang w:eastAsia="uk-UA"/>
        </w:rPr>
      </w:pPr>
      <w:r w:rsidRPr="00E5580C">
        <w:rPr>
          <w:rFonts w:eastAsia="Times New Roman" w:cs="Times New Roman"/>
          <w:bCs/>
          <w:szCs w:val="28"/>
          <w:lang w:eastAsia="uk-UA"/>
        </w:rPr>
        <w:t xml:space="preserve">Головною метою для територіальної громади на середньостроковий період є забезпечення економічного зростання на основі здійснення модернізації економіки </w:t>
      </w:r>
      <w:r w:rsidR="00863915" w:rsidRPr="00E5580C">
        <w:rPr>
          <w:rFonts w:eastAsia="Times New Roman" w:cs="Times New Roman"/>
          <w:bCs/>
          <w:szCs w:val="28"/>
          <w:lang w:eastAsia="uk-UA"/>
        </w:rPr>
        <w:t>Золочівської</w:t>
      </w:r>
      <w:r w:rsidRPr="00E5580C">
        <w:rPr>
          <w:rFonts w:eastAsia="Times New Roman" w:cs="Times New Roman"/>
          <w:bCs/>
          <w:szCs w:val="28"/>
          <w:lang w:eastAsia="uk-UA"/>
        </w:rPr>
        <w:t xml:space="preserve"> міської територіальної громади та підвищення її конкурентоспроможності.</w:t>
      </w:r>
    </w:p>
    <w:p w:rsidR="00863915" w:rsidRPr="00E5580C" w:rsidRDefault="00863915" w:rsidP="00863915">
      <w:pPr>
        <w:spacing w:after="0"/>
        <w:jc w:val="center"/>
        <w:rPr>
          <w:rFonts w:cs="Times New Roman"/>
          <w:szCs w:val="28"/>
        </w:rPr>
      </w:pPr>
      <w:r w:rsidRPr="00E5580C">
        <w:rPr>
          <w:rFonts w:cs="Times New Roman"/>
          <w:szCs w:val="28"/>
        </w:rPr>
        <w:t>Основні  макроекономічні показники  економічного і соціального розвитку  у   2022 – 2024 роках</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993"/>
        <w:gridCol w:w="992"/>
        <w:gridCol w:w="992"/>
      </w:tblGrid>
      <w:tr w:rsidR="00863915" w:rsidRPr="00E5580C" w:rsidTr="003F60DB">
        <w:trPr>
          <w:jc w:val="center"/>
        </w:trPr>
        <w:tc>
          <w:tcPr>
            <w:tcW w:w="4219" w:type="dxa"/>
            <w:shd w:val="clear" w:color="auto" w:fill="auto"/>
          </w:tcPr>
          <w:p w:rsidR="00863915" w:rsidRPr="00E5580C" w:rsidRDefault="00863915" w:rsidP="003F60DB">
            <w:pPr>
              <w:rPr>
                <w:rFonts w:cs="Times New Roman"/>
                <w:szCs w:val="28"/>
              </w:rPr>
            </w:pPr>
            <w:r w:rsidRPr="00E5580C">
              <w:rPr>
                <w:rFonts w:cs="Times New Roman"/>
                <w:szCs w:val="28"/>
              </w:rPr>
              <w:t>Назва</w:t>
            </w:r>
          </w:p>
        </w:tc>
        <w:tc>
          <w:tcPr>
            <w:tcW w:w="993" w:type="dxa"/>
            <w:shd w:val="clear" w:color="auto" w:fill="auto"/>
          </w:tcPr>
          <w:p w:rsidR="00863915" w:rsidRPr="00E5580C" w:rsidRDefault="00863915" w:rsidP="003F60DB">
            <w:pPr>
              <w:rPr>
                <w:rFonts w:cs="Times New Roman"/>
                <w:szCs w:val="28"/>
              </w:rPr>
            </w:pPr>
            <w:r w:rsidRPr="00E5580C">
              <w:rPr>
                <w:rFonts w:cs="Times New Roman"/>
                <w:szCs w:val="28"/>
              </w:rPr>
              <w:t>2022 р</w:t>
            </w:r>
          </w:p>
        </w:tc>
        <w:tc>
          <w:tcPr>
            <w:tcW w:w="992" w:type="dxa"/>
            <w:shd w:val="clear" w:color="auto" w:fill="auto"/>
          </w:tcPr>
          <w:p w:rsidR="00863915" w:rsidRPr="00E5580C" w:rsidRDefault="00863915" w:rsidP="003F60DB">
            <w:pPr>
              <w:rPr>
                <w:rFonts w:cs="Times New Roman"/>
                <w:szCs w:val="28"/>
              </w:rPr>
            </w:pPr>
            <w:r w:rsidRPr="00E5580C">
              <w:rPr>
                <w:rFonts w:cs="Times New Roman"/>
                <w:szCs w:val="28"/>
              </w:rPr>
              <w:t>2023р</w:t>
            </w:r>
          </w:p>
        </w:tc>
        <w:tc>
          <w:tcPr>
            <w:tcW w:w="992" w:type="dxa"/>
            <w:shd w:val="clear" w:color="auto" w:fill="auto"/>
          </w:tcPr>
          <w:p w:rsidR="00863915" w:rsidRPr="00E5580C" w:rsidRDefault="00863915" w:rsidP="003F60DB">
            <w:pPr>
              <w:rPr>
                <w:rFonts w:cs="Times New Roman"/>
                <w:szCs w:val="28"/>
              </w:rPr>
            </w:pPr>
            <w:r w:rsidRPr="00E5580C">
              <w:rPr>
                <w:rFonts w:cs="Times New Roman"/>
                <w:szCs w:val="28"/>
              </w:rPr>
              <w:t>2024р</w:t>
            </w:r>
          </w:p>
        </w:tc>
      </w:tr>
      <w:tr w:rsidR="00863915" w:rsidRPr="00E5580C" w:rsidTr="003F60DB">
        <w:trPr>
          <w:jc w:val="center"/>
        </w:trPr>
        <w:tc>
          <w:tcPr>
            <w:tcW w:w="4219" w:type="dxa"/>
            <w:shd w:val="clear" w:color="auto" w:fill="auto"/>
          </w:tcPr>
          <w:p w:rsidR="00863915" w:rsidRPr="00E5580C" w:rsidRDefault="00863915" w:rsidP="003F60DB">
            <w:pPr>
              <w:rPr>
                <w:rFonts w:cs="Times New Roman"/>
                <w:szCs w:val="28"/>
              </w:rPr>
            </w:pPr>
          </w:p>
        </w:tc>
        <w:tc>
          <w:tcPr>
            <w:tcW w:w="2977" w:type="dxa"/>
            <w:gridSpan w:val="3"/>
            <w:shd w:val="clear" w:color="auto" w:fill="auto"/>
          </w:tcPr>
          <w:p w:rsidR="00863915" w:rsidRPr="00E5580C" w:rsidRDefault="00863915" w:rsidP="003F60DB">
            <w:pPr>
              <w:rPr>
                <w:rFonts w:cs="Times New Roman"/>
                <w:szCs w:val="28"/>
              </w:rPr>
            </w:pPr>
            <w:r w:rsidRPr="00E5580C">
              <w:rPr>
                <w:rFonts w:cs="Times New Roman"/>
                <w:szCs w:val="28"/>
              </w:rPr>
              <w:t xml:space="preserve">            Прогноз</w:t>
            </w:r>
          </w:p>
        </w:tc>
      </w:tr>
      <w:tr w:rsidR="00863915" w:rsidRPr="00E5580C" w:rsidTr="003F60DB">
        <w:trPr>
          <w:trHeight w:val="566"/>
          <w:jc w:val="center"/>
        </w:trPr>
        <w:tc>
          <w:tcPr>
            <w:tcW w:w="4219" w:type="dxa"/>
            <w:shd w:val="clear" w:color="auto" w:fill="auto"/>
          </w:tcPr>
          <w:p w:rsidR="00863915" w:rsidRPr="00E5580C" w:rsidRDefault="00863915" w:rsidP="003F60DB">
            <w:pPr>
              <w:spacing w:after="0"/>
              <w:rPr>
                <w:rFonts w:cs="Times New Roman"/>
                <w:szCs w:val="28"/>
              </w:rPr>
            </w:pPr>
            <w:r w:rsidRPr="00E5580C">
              <w:rPr>
                <w:rFonts w:cs="Times New Roman"/>
                <w:szCs w:val="28"/>
              </w:rPr>
              <w:t xml:space="preserve">Валовий внутрішній продукт: у відсотках до попереднього року </w:t>
            </w:r>
          </w:p>
        </w:tc>
        <w:tc>
          <w:tcPr>
            <w:tcW w:w="993" w:type="dxa"/>
            <w:shd w:val="clear" w:color="auto" w:fill="auto"/>
          </w:tcPr>
          <w:p w:rsidR="00863915" w:rsidRPr="00E5580C" w:rsidRDefault="00863915" w:rsidP="003F60DB">
            <w:pPr>
              <w:spacing w:after="0"/>
              <w:rPr>
                <w:rFonts w:cs="Times New Roman"/>
                <w:szCs w:val="28"/>
              </w:rPr>
            </w:pPr>
            <w:r w:rsidRPr="00E5580C">
              <w:rPr>
                <w:rFonts w:cs="Times New Roman"/>
                <w:szCs w:val="28"/>
              </w:rPr>
              <w:t>103,8</w:t>
            </w:r>
          </w:p>
        </w:tc>
        <w:tc>
          <w:tcPr>
            <w:tcW w:w="992" w:type="dxa"/>
            <w:shd w:val="clear" w:color="auto" w:fill="auto"/>
          </w:tcPr>
          <w:p w:rsidR="00863915" w:rsidRPr="00E5580C" w:rsidRDefault="00863915" w:rsidP="003F60DB">
            <w:pPr>
              <w:spacing w:after="0"/>
              <w:rPr>
                <w:rFonts w:cs="Times New Roman"/>
                <w:szCs w:val="28"/>
              </w:rPr>
            </w:pPr>
            <w:r w:rsidRPr="00E5580C">
              <w:rPr>
                <w:rFonts w:cs="Times New Roman"/>
                <w:szCs w:val="28"/>
              </w:rPr>
              <w:t>104,7</w:t>
            </w:r>
          </w:p>
        </w:tc>
        <w:tc>
          <w:tcPr>
            <w:tcW w:w="992" w:type="dxa"/>
            <w:shd w:val="clear" w:color="auto" w:fill="auto"/>
          </w:tcPr>
          <w:p w:rsidR="00863915" w:rsidRPr="00E5580C" w:rsidRDefault="00863915" w:rsidP="003F60DB">
            <w:pPr>
              <w:spacing w:after="0"/>
              <w:rPr>
                <w:rFonts w:cs="Times New Roman"/>
                <w:szCs w:val="28"/>
              </w:rPr>
            </w:pPr>
            <w:r w:rsidRPr="00E5580C">
              <w:rPr>
                <w:rFonts w:cs="Times New Roman"/>
                <w:szCs w:val="28"/>
              </w:rPr>
              <w:t>105,0</w:t>
            </w:r>
          </w:p>
        </w:tc>
      </w:tr>
      <w:tr w:rsidR="00863915" w:rsidRPr="00E5580C" w:rsidTr="003F60DB">
        <w:trPr>
          <w:jc w:val="center"/>
        </w:trPr>
        <w:tc>
          <w:tcPr>
            <w:tcW w:w="4219" w:type="dxa"/>
            <w:shd w:val="clear" w:color="auto" w:fill="auto"/>
          </w:tcPr>
          <w:p w:rsidR="00863915" w:rsidRPr="00E5580C" w:rsidRDefault="00863915" w:rsidP="003F60DB">
            <w:pPr>
              <w:spacing w:after="0"/>
              <w:rPr>
                <w:rFonts w:cs="Times New Roman"/>
                <w:szCs w:val="28"/>
              </w:rPr>
            </w:pPr>
            <w:r w:rsidRPr="00E5580C">
              <w:rPr>
                <w:rFonts w:cs="Times New Roman"/>
                <w:szCs w:val="28"/>
              </w:rPr>
              <w:t>Індекс споживчих цін (ІСЦ): грудень до грудня попереднього року, відсотки</w:t>
            </w:r>
          </w:p>
        </w:tc>
        <w:tc>
          <w:tcPr>
            <w:tcW w:w="993" w:type="dxa"/>
            <w:shd w:val="clear" w:color="auto" w:fill="auto"/>
          </w:tcPr>
          <w:p w:rsidR="00863915" w:rsidRPr="00E5580C" w:rsidRDefault="00863915" w:rsidP="003F60DB">
            <w:pPr>
              <w:spacing w:after="0"/>
              <w:rPr>
                <w:rFonts w:cs="Times New Roman"/>
                <w:szCs w:val="28"/>
              </w:rPr>
            </w:pPr>
            <w:r w:rsidRPr="00E5580C">
              <w:rPr>
                <w:rFonts w:cs="Times New Roman"/>
                <w:szCs w:val="28"/>
              </w:rPr>
              <w:t>106,2</w:t>
            </w:r>
          </w:p>
        </w:tc>
        <w:tc>
          <w:tcPr>
            <w:tcW w:w="992" w:type="dxa"/>
            <w:shd w:val="clear" w:color="auto" w:fill="auto"/>
          </w:tcPr>
          <w:p w:rsidR="00863915" w:rsidRPr="00E5580C" w:rsidRDefault="00863915" w:rsidP="003F60DB">
            <w:pPr>
              <w:spacing w:after="0"/>
              <w:rPr>
                <w:rFonts w:cs="Times New Roman"/>
                <w:szCs w:val="28"/>
              </w:rPr>
            </w:pPr>
            <w:r w:rsidRPr="00E5580C">
              <w:rPr>
                <w:rFonts w:cs="Times New Roman"/>
                <w:szCs w:val="28"/>
              </w:rPr>
              <w:t>105,3</w:t>
            </w:r>
          </w:p>
        </w:tc>
        <w:tc>
          <w:tcPr>
            <w:tcW w:w="992" w:type="dxa"/>
            <w:shd w:val="clear" w:color="auto" w:fill="auto"/>
          </w:tcPr>
          <w:p w:rsidR="00863915" w:rsidRPr="00E5580C" w:rsidRDefault="00863915" w:rsidP="003F60DB">
            <w:pPr>
              <w:spacing w:after="0"/>
              <w:rPr>
                <w:rFonts w:cs="Times New Roman"/>
                <w:szCs w:val="28"/>
              </w:rPr>
            </w:pPr>
            <w:r w:rsidRPr="00E5580C">
              <w:rPr>
                <w:rFonts w:cs="Times New Roman"/>
                <w:szCs w:val="28"/>
              </w:rPr>
              <w:t>105,0</w:t>
            </w:r>
          </w:p>
        </w:tc>
      </w:tr>
      <w:tr w:rsidR="00863915" w:rsidRPr="00E5580C" w:rsidTr="003F60DB">
        <w:trPr>
          <w:jc w:val="center"/>
        </w:trPr>
        <w:tc>
          <w:tcPr>
            <w:tcW w:w="4219" w:type="dxa"/>
            <w:shd w:val="clear" w:color="auto" w:fill="auto"/>
          </w:tcPr>
          <w:p w:rsidR="00863915" w:rsidRPr="00E5580C" w:rsidRDefault="00863915" w:rsidP="003F60DB">
            <w:pPr>
              <w:spacing w:after="0"/>
              <w:rPr>
                <w:rFonts w:cs="Times New Roman"/>
                <w:szCs w:val="28"/>
              </w:rPr>
            </w:pPr>
            <w:r w:rsidRPr="00E5580C">
              <w:rPr>
                <w:rFonts w:cs="Times New Roman"/>
                <w:szCs w:val="28"/>
              </w:rPr>
              <w:t>Індекс цін виробників (ІЦВ): грудень до грудня попереднього року, відсотки</w:t>
            </w:r>
          </w:p>
        </w:tc>
        <w:tc>
          <w:tcPr>
            <w:tcW w:w="993" w:type="dxa"/>
            <w:shd w:val="clear" w:color="auto" w:fill="auto"/>
          </w:tcPr>
          <w:p w:rsidR="00863915" w:rsidRPr="00E5580C" w:rsidRDefault="00863915" w:rsidP="003F60DB">
            <w:pPr>
              <w:spacing w:after="0"/>
              <w:rPr>
                <w:rFonts w:cs="Times New Roman"/>
                <w:szCs w:val="28"/>
              </w:rPr>
            </w:pPr>
            <w:r w:rsidRPr="00E5580C">
              <w:rPr>
                <w:rFonts w:cs="Times New Roman"/>
                <w:szCs w:val="28"/>
              </w:rPr>
              <w:t>107,8</w:t>
            </w:r>
          </w:p>
        </w:tc>
        <w:tc>
          <w:tcPr>
            <w:tcW w:w="992" w:type="dxa"/>
            <w:shd w:val="clear" w:color="auto" w:fill="auto"/>
          </w:tcPr>
          <w:p w:rsidR="00863915" w:rsidRPr="00E5580C" w:rsidRDefault="00863915" w:rsidP="003F60DB">
            <w:pPr>
              <w:spacing w:after="0"/>
              <w:rPr>
                <w:rFonts w:cs="Times New Roman"/>
                <w:szCs w:val="28"/>
              </w:rPr>
            </w:pPr>
            <w:r w:rsidRPr="00E5580C">
              <w:rPr>
                <w:rFonts w:cs="Times New Roman"/>
                <w:szCs w:val="28"/>
              </w:rPr>
              <w:t>106,2</w:t>
            </w:r>
          </w:p>
        </w:tc>
        <w:tc>
          <w:tcPr>
            <w:tcW w:w="992" w:type="dxa"/>
            <w:shd w:val="clear" w:color="auto" w:fill="auto"/>
          </w:tcPr>
          <w:p w:rsidR="00863915" w:rsidRPr="00E5580C" w:rsidRDefault="00863915" w:rsidP="003F60DB">
            <w:pPr>
              <w:spacing w:after="0"/>
              <w:rPr>
                <w:rFonts w:cs="Times New Roman"/>
                <w:szCs w:val="28"/>
              </w:rPr>
            </w:pPr>
            <w:r w:rsidRPr="00E5580C">
              <w:rPr>
                <w:rFonts w:cs="Times New Roman"/>
                <w:szCs w:val="28"/>
              </w:rPr>
              <w:t>105,7</w:t>
            </w:r>
          </w:p>
        </w:tc>
      </w:tr>
      <w:tr w:rsidR="00863915" w:rsidRPr="00E5580C" w:rsidTr="003F60DB">
        <w:trPr>
          <w:jc w:val="center"/>
        </w:trPr>
        <w:tc>
          <w:tcPr>
            <w:tcW w:w="4219" w:type="dxa"/>
            <w:shd w:val="clear" w:color="auto" w:fill="auto"/>
          </w:tcPr>
          <w:p w:rsidR="00863915" w:rsidRPr="00E5580C" w:rsidRDefault="00863915" w:rsidP="003F60DB">
            <w:pPr>
              <w:spacing w:after="0"/>
              <w:rPr>
                <w:rFonts w:cs="Times New Roman"/>
                <w:szCs w:val="28"/>
              </w:rPr>
            </w:pPr>
            <w:r w:rsidRPr="00E5580C">
              <w:rPr>
                <w:rFonts w:cs="Times New Roman"/>
                <w:szCs w:val="28"/>
              </w:rPr>
              <w:t xml:space="preserve">Експорт товарів та послуг у відсотках до попереднього року </w:t>
            </w:r>
          </w:p>
        </w:tc>
        <w:tc>
          <w:tcPr>
            <w:tcW w:w="993" w:type="dxa"/>
            <w:shd w:val="clear" w:color="auto" w:fill="auto"/>
          </w:tcPr>
          <w:p w:rsidR="00863915" w:rsidRPr="00E5580C" w:rsidRDefault="00863915" w:rsidP="003F60DB">
            <w:pPr>
              <w:spacing w:after="0"/>
              <w:rPr>
                <w:rFonts w:cs="Times New Roman"/>
                <w:szCs w:val="28"/>
              </w:rPr>
            </w:pPr>
            <w:r w:rsidRPr="00E5580C">
              <w:rPr>
                <w:rFonts w:cs="Times New Roman"/>
                <w:szCs w:val="28"/>
              </w:rPr>
              <w:t>106,5</w:t>
            </w:r>
          </w:p>
        </w:tc>
        <w:tc>
          <w:tcPr>
            <w:tcW w:w="992" w:type="dxa"/>
            <w:shd w:val="clear" w:color="auto" w:fill="auto"/>
          </w:tcPr>
          <w:p w:rsidR="00863915" w:rsidRPr="00E5580C" w:rsidRDefault="00863915" w:rsidP="003F60DB">
            <w:pPr>
              <w:spacing w:after="0"/>
              <w:rPr>
                <w:rFonts w:cs="Times New Roman"/>
                <w:szCs w:val="28"/>
              </w:rPr>
            </w:pPr>
            <w:r w:rsidRPr="00E5580C">
              <w:rPr>
                <w:rFonts w:cs="Times New Roman"/>
                <w:szCs w:val="28"/>
              </w:rPr>
              <w:t>107,7</w:t>
            </w:r>
          </w:p>
        </w:tc>
        <w:tc>
          <w:tcPr>
            <w:tcW w:w="992" w:type="dxa"/>
            <w:shd w:val="clear" w:color="auto" w:fill="auto"/>
          </w:tcPr>
          <w:p w:rsidR="00863915" w:rsidRPr="00E5580C" w:rsidRDefault="00863915" w:rsidP="003F60DB">
            <w:pPr>
              <w:spacing w:after="0"/>
              <w:rPr>
                <w:rFonts w:cs="Times New Roman"/>
                <w:szCs w:val="28"/>
              </w:rPr>
            </w:pPr>
            <w:r w:rsidRPr="00E5580C">
              <w:rPr>
                <w:rFonts w:cs="Times New Roman"/>
                <w:szCs w:val="28"/>
              </w:rPr>
              <w:t>107,9</w:t>
            </w:r>
          </w:p>
        </w:tc>
      </w:tr>
      <w:tr w:rsidR="00863915" w:rsidRPr="00E5580C" w:rsidTr="003F60DB">
        <w:trPr>
          <w:jc w:val="center"/>
        </w:trPr>
        <w:tc>
          <w:tcPr>
            <w:tcW w:w="4219" w:type="dxa"/>
            <w:shd w:val="clear" w:color="auto" w:fill="auto"/>
          </w:tcPr>
          <w:p w:rsidR="00863915" w:rsidRPr="00E5580C" w:rsidRDefault="00863915" w:rsidP="003F60DB">
            <w:pPr>
              <w:spacing w:after="0"/>
              <w:rPr>
                <w:rFonts w:cs="Times New Roman"/>
                <w:szCs w:val="28"/>
              </w:rPr>
            </w:pPr>
            <w:r w:rsidRPr="00E5580C">
              <w:rPr>
                <w:rFonts w:cs="Times New Roman"/>
                <w:szCs w:val="28"/>
              </w:rPr>
              <w:t>Імпорт товарів та послуг у відсотках до попереднього року</w:t>
            </w:r>
          </w:p>
        </w:tc>
        <w:tc>
          <w:tcPr>
            <w:tcW w:w="993" w:type="dxa"/>
            <w:shd w:val="clear" w:color="auto" w:fill="auto"/>
          </w:tcPr>
          <w:p w:rsidR="00863915" w:rsidRPr="00E5580C" w:rsidRDefault="00863915" w:rsidP="003F60DB">
            <w:pPr>
              <w:spacing w:after="0"/>
              <w:rPr>
                <w:rFonts w:cs="Times New Roman"/>
                <w:szCs w:val="28"/>
              </w:rPr>
            </w:pPr>
            <w:r w:rsidRPr="00E5580C">
              <w:rPr>
                <w:rFonts w:cs="Times New Roman"/>
                <w:szCs w:val="28"/>
              </w:rPr>
              <w:t>109,2</w:t>
            </w:r>
          </w:p>
        </w:tc>
        <w:tc>
          <w:tcPr>
            <w:tcW w:w="992" w:type="dxa"/>
            <w:shd w:val="clear" w:color="auto" w:fill="auto"/>
          </w:tcPr>
          <w:p w:rsidR="00863915" w:rsidRPr="00E5580C" w:rsidRDefault="00863915" w:rsidP="003F60DB">
            <w:pPr>
              <w:spacing w:after="0"/>
              <w:rPr>
                <w:rFonts w:cs="Times New Roman"/>
                <w:szCs w:val="28"/>
              </w:rPr>
            </w:pPr>
            <w:r w:rsidRPr="00E5580C">
              <w:rPr>
                <w:rFonts w:cs="Times New Roman"/>
                <w:szCs w:val="28"/>
              </w:rPr>
              <w:t>109,4</w:t>
            </w:r>
          </w:p>
        </w:tc>
        <w:tc>
          <w:tcPr>
            <w:tcW w:w="992" w:type="dxa"/>
            <w:shd w:val="clear" w:color="auto" w:fill="auto"/>
          </w:tcPr>
          <w:p w:rsidR="00863915" w:rsidRPr="00E5580C" w:rsidRDefault="00863915" w:rsidP="003F60DB">
            <w:pPr>
              <w:spacing w:after="0"/>
              <w:rPr>
                <w:rFonts w:cs="Times New Roman"/>
                <w:szCs w:val="28"/>
              </w:rPr>
            </w:pPr>
            <w:r w:rsidRPr="00E5580C">
              <w:rPr>
                <w:rFonts w:cs="Times New Roman"/>
                <w:szCs w:val="28"/>
              </w:rPr>
              <w:t>108,6</w:t>
            </w:r>
          </w:p>
        </w:tc>
      </w:tr>
      <w:tr w:rsidR="00863915" w:rsidRPr="00E5580C" w:rsidTr="003F60DB">
        <w:trPr>
          <w:jc w:val="center"/>
        </w:trPr>
        <w:tc>
          <w:tcPr>
            <w:tcW w:w="4219" w:type="dxa"/>
            <w:shd w:val="clear" w:color="auto" w:fill="auto"/>
          </w:tcPr>
          <w:p w:rsidR="00863915" w:rsidRPr="00E5580C" w:rsidRDefault="00863915" w:rsidP="003F60DB">
            <w:pPr>
              <w:spacing w:after="0"/>
              <w:rPr>
                <w:rFonts w:cs="Times New Roman"/>
                <w:szCs w:val="28"/>
              </w:rPr>
            </w:pPr>
            <w:r w:rsidRPr="00E5580C">
              <w:rPr>
                <w:rFonts w:cs="Times New Roman"/>
                <w:szCs w:val="28"/>
              </w:rPr>
              <w:t xml:space="preserve">Облікова ставка Національного банку України, відсотків річних на кінець періоду </w:t>
            </w:r>
          </w:p>
        </w:tc>
        <w:tc>
          <w:tcPr>
            <w:tcW w:w="993" w:type="dxa"/>
            <w:shd w:val="clear" w:color="auto" w:fill="auto"/>
          </w:tcPr>
          <w:p w:rsidR="00863915" w:rsidRPr="00E5580C" w:rsidRDefault="00863915" w:rsidP="003F60DB">
            <w:pPr>
              <w:spacing w:after="0"/>
              <w:rPr>
                <w:rFonts w:cs="Times New Roman"/>
                <w:szCs w:val="28"/>
              </w:rPr>
            </w:pPr>
            <w:r w:rsidRPr="00E5580C">
              <w:rPr>
                <w:rFonts w:cs="Times New Roman"/>
                <w:szCs w:val="28"/>
              </w:rPr>
              <w:t>7,0</w:t>
            </w:r>
          </w:p>
        </w:tc>
        <w:tc>
          <w:tcPr>
            <w:tcW w:w="992" w:type="dxa"/>
            <w:shd w:val="clear" w:color="auto" w:fill="auto"/>
          </w:tcPr>
          <w:p w:rsidR="00863915" w:rsidRPr="00E5580C" w:rsidRDefault="00863915" w:rsidP="003F60DB">
            <w:pPr>
              <w:spacing w:after="0"/>
              <w:rPr>
                <w:rFonts w:cs="Times New Roman"/>
                <w:szCs w:val="28"/>
              </w:rPr>
            </w:pPr>
            <w:r w:rsidRPr="00E5580C">
              <w:rPr>
                <w:rFonts w:cs="Times New Roman"/>
                <w:szCs w:val="28"/>
              </w:rPr>
              <w:t>5,5</w:t>
            </w:r>
          </w:p>
        </w:tc>
        <w:tc>
          <w:tcPr>
            <w:tcW w:w="992" w:type="dxa"/>
            <w:shd w:val="clear" w:color="auto" w:fill="auto"/>
          </w:tcPr>
          <w:p w:rsidR="00863915" w:rsidRPr="00E5580C" w:rsidRDefault="00863915" w:rsidP="003F60DB">
            <w:pPr>
              <w:spacing w:after="0"/>
              <w:rPr>
                <w:rFonts w:cs="Times New Roman"/>
                <w:szCs w:val="28"/>
              </w:rPr>
            </w:pPr>
            <w:r w:rsidRPr="00E5580C">
              <w:rPr>
                <w:rFonts w:cs="Times New Roman"/>
                <w:szCs w:val="28"/>
              </w:rPr>
              <w:t>5,2</w:t>
            </w:r>
          </w:p>
        </w:tc>
      </w:tr>
      <w:tr w:rsidR="00863915" w:rsidRPr="00E5580C" w:rsidTr="003F60DB">
        <w:trPr>
          <w:jc w:val="center"/>
        </w:trPr>
        <w:tc>
          <w:tcPr>
            <w:tcW w:w="4219" w:type="dxa"/>
            <w:shd w:val="clear" w:color="auto" w:fill="auto"/>
          </w:tcPr>
          <w:p w:rsidR="00863915" w:rsidRPr="00E5580C" w:rsidRDefault="00863915" w:rsidP="003F60DB">
            <w:pPr>
              <w:spacing w:after="0"/>
              <w:rPr>
                <w:rFonts w:cs="Times New Roman"/>
                <w:szCs w:val="28"/>
              </w:rPr>
            </w:pPr>
            <w:r w:rsidRPr="00E5580C">
              <w:rPr>
                <w:rFonts w:cs="Times New Roman"/>
                <w:szCs w:val="28"/>
              </w:rPr>
              <w:t xml:space="preserve">Обмінний курс гривні до долара США, гривень за долар США в середньому за період </w:t>
            </w:r>
          </w:p>
        </w:tc>
        <w:tc>
          <w:tcPr>
            <w:tcW w:w="993" w:type="dxa"/>
            <w:shd w:val="clear" w:color="auto" w:fill="auto"/>
          </w:tcPr>
          <w:p w:rsidR="00863915" w:rsidRPr="00E5580C" w:rsidRDefault="00863915" w:rsidP="003F60DB">
            <w:pPr>
              <w:spacing w:after="0"/>
              <w:rPr>
                <w:rFonts w:cs="Times New Roman"/>
                <w:szCs w:val="28"/>
              </w:rPr>
            </w:pPr>
            <w:r w:rsidRPr="00E5580C">
              <w:rPr>
                <w:rFonts w:cs="Times New Roman"/>
                <w:szCs w:val="28"/>
              </w:rPr>
              <w:t>28,6</w:t>
            </w:r>
          </w:p>
        </w:tc>
        <w:tc>
          <w:tcPr>
            <w:tcW w:w="992" w:type="dxa"/>
            <w:shd w:val="clear" w:color="auto" w:fill="auto"/>
          </w:tcPr>
          <w:p w:rsidR="00863915" w:rsidRPr="00E5580C" w:rsidRDefault="00863915" w:rsidP="003F60DB">
            <w:pPr>
              <w:spacing w:after="0"/>
              <w:rPr>
                <w:rFonts w:cs="Times New Roman"/>
                <w:szCs w:val="28"/>
              </w:rPr>
            </w:pPr>
            <w:r w:rsidRPr="00E5580C">
              <w:rPr>
                <w:rFonts w:cs="Times New Roman"/>
                <w:szCs w:val="28"/>
              </w:rPr>
              <w:t>28,8</w:t>
            </w:r>
          </w:p>
        </w:tc>
        <w:tc>
          <w:tcPr>
            <w:tcW w:w="992" w:type="dxa"/>
            <w:shd w:val="clear" w:color="auto" w:fill="auto"/>
          </w:tcPr>
          <w:p w:rsidR="00863915" w:rsidRPr="00E5580C" w:rsidRDefault="00863915" w:rsidP="003F60DB">
            <w:pPr>
              <w:spacing w:after="0"/>
              <w:rPr>
                <w:rFonts w:cs="Times New Roman"/>
                <w:szCs w:val="28"/>
              </w:rPr>
            </w:pPr>
            <w:r w:rsidRPr="00E5580C">
              <w:rPr>
                <w:rFonts w:cs="Times New Roman"/>
                <w:szCs w:val="28"/>
              </w:rPr>
              <w:t>29,2</w:t>
            </w:r>
          </w:p>
        </w:tc>
      </w:tr>
    </w:tbl>
    <w:p w:rsidR="001F5301" w:rsidRPr="00E5580C" w:rsidRDefault="001F5301" w:rsidP="001F5301">
      <w:pPr>
        <w:tabs>
          <w:tab w:val="left" w:pos="1134"/>
        </w:tabs>
        <w:spacing w:after="120"/>
        <w:jc w:val="both"/>
        <w:rPr>
          <w:rFonts w:cs="Times New Roman"/>
          <w:b/>
          <w:szCs w:val="28"/>
        </w:rPr>
      </w:pPr>
    </w:p>
    <w:p w:rsidR="001F5301" w:rsidRPr="00E5580C" w:rsidRDefault="001F5301" w:rsidP="00185657">
      <w:pPr>
        <w:tabs>
          <w:tab w:val="left" w:pos="1134"/>
        </w:tabs>
        <w:spacing w:after="120"/>
        <w:jc w:val="center"/>
        <w:rPr>
          <w:rFonts w:cs="Times New Roman"/>
          <w:b/>
          <w:szCs w:val="28"/>
        </w:rPr>
      </w:pPr>
      <w:r w:rsidRPr="00E5580C">
        <w:rPr>
          <w:rFonts w:cs="Times New Roman"/>
          <w:b/>
          <w:szCs w:val="28"/>
          <w:lang w:val="en-US"/>
        </w:rPr>
        <w:t>III</w:t>
      </w:r>
      <w:r w:rsidRPr="00E5580C">
        <w:rPr>
          <w:rFonts w:cs="Times New Roman"/>
          <w:b/>
          <w:szCs w:val="28"/>
        </w:rPr>
        <w:t>. Загальні показники бюджету</w:t>
      </w:r>
    </w:p>
    <w:p w:rsidR="001F5301" w:rsidRPr="00E5580C" w:rsidRDefault="001F5301" w:rsidP="001F5301">
      <w:pPr>
        <w:spacing w:after="0"/>
        <w:jc w:val="both"/>
        <w:rPr>
          <w:rFonts w:cs="Times New Roman"/>
          <w:szCs w:val="28"/>
        </w:rPr>
      </w:pPr>
      <w:r w:rsidRPr="00E5580C">
        <w:rPr>
          <w:rFonts w:cs="Times New Roman"/>
          <w:szCs w:val="28"/>
        </w:rPr>
        <w:t xml:space="preserve">       </w:t>
      </w:r>
      <w:r w:rsidR="00906F87" w:rsidRPr="00E5580C">
        <w:rPr>
          <w:rFonts w:cs="Times New Roman"/>
          <w:szCs w:val="28"/>
        </w:rPr>
        <w:t xml:space="preserve"> </w:t>
      </w:r>
      <w:r w:rsidRPr="00E5580C">
        <w:rPr>
          <w:rFonts w:cs="Times New Roman"/>
          <w:szCs w:val="28"/>
        </w:rPr>
        <w:t>Прогноз бюджету на 2022-2024 роки включає прогнозні показники бюджету громади за основними видами доходів, фінансування, видатків і кредитування, а також прогнозні показники за бюджетними програмами, які забезпечують виконання інвестиційних про</w:t>
      </w:r>
      <w:r w:rsidR="00492E6B" w:rsidRPr="00E5580C">
        <w:rPr>
          <w:rFonts w:cs="Times New Roman"/>
          <w:szCs w:val="28"/>
        </w:rPr>
        <w:t>е</w:t>
      </w:r>
      <w:r w:rsidRPr="00E5580C">
        <w:rPr>
          <w:rFonts w:cs="Times New Roman"/>
          <w:szCs w:val="28"/>
        </w:rPr>
        <w:t>ктів. Зазначені показники є основою для складання головними розпорядниками бюджетних коштів планів своєї діяльності, місцевих програм та формування  показників про</w:t>
      </w:r>
      <w:r w:rsidR="00492E6B" w:rsidRPr="00E5580C">
        <w:rPr>
          <w:rFonts w:cs="Times New Roman"/>
          <w:szCs w:val="28"/>
        </w:rPr>
        <w:t>е</w:t>
      </w:r>
      <w:r w:rsidRPr="00E5580C">
        <w:rPr>
          <w:rFonts w:cs="Times New Roman"/>
          <w:szCs w:val="28"/>
        </w:rPr>
        <w:t xml:space="preserve">кту бюджету </w:t>
      </w:r>
      <w:r w:rsidR="00492E6B" w:rsidRPr="00E5580C">
        <w:rPr>
          <w:rFonts w:cs="Times New Roman"/>
          <w:szCs w:val="28"/>
        </w:rPr>
        <w:t>міської</w:t>
      </w:r>
      <w:r w:rsidRPr="00E5580C">
        <w:rPr>
          <w:rFonts w:cs="Times New Roman"/>
          <w:szCs w:val="28"/>
        </w:rPr>
        <w:t xml:space="preserve"> територіальної гром</w:t>
      </w:r>
      <w:r w:rsidR="00492E6B" w:rsidRPr="00E5580C">
        <w:rPr>
          <w:rFonts w:cs="Times New Roman"/>
          <w:szCs w:val="28"/>
        </w:rPr>
        <w:t>ади на 2022 рік. Формування прое</w:t>
      </w:r>
      <w:r w:rsidRPr="00E5580C">
        <w:rPr>
          <w:rFonts w:cs="Times New Roman"/>
          <w:szCs w:val="28"/>
        </w:rPr>
        <w:t xml:space="preserve">кту бюджету на відповідний рік здійснюватиметься з урахуванням змін основних прогнозних показників </w:t>
      </w:r>
      <w:r w:rsidRPr="00E5580C">
        <w:rPr>
          <w:rFonts w:cs="Times New Roman"/>
          <w:szCs w:val="28"/>
        </w:rPr>
        <w:lastRenderedPageBreak/>
        <w:t>економічного і соціального розвитку громади, а також змін у нормативно-правовій базі.</w:t>
      </w:r>
    </w:p>
    <w:p w:rsidR="00062F8D" w:rsidRPr="00E5580C" w:rsidRDefault="00062F8D" w:rsidP="00062F8D">
      <w:pPr>
        <w:spacing w:after="0"/>
        <w:ind w:firstLine="708"/>
        <w:jc w:val="both"/>
        <w:rPr>
          <w:rFonts w:cs="Times New Roman"/>
          <w:szCs w:val="28"/>
        </w:rPr>
      </w:pPr>
      <w:r w:rsidRPr="00E5580C">
        <w:rPr>
          <w:rFonts w:cs="Times New Roman"/>
          <w:szCs w:val="28"/>
        </w:rPr>
        <w:t xml:space="preserve">При формуванні показників міського бюджету на 2022-2024 роки враховано відповідно до Бюджетної декларації  збільшення розміру мінімальної заробітної плати, прожиткового мінімуму для працездатних осіб та посадового окладу працівника 1-го тарифного розряду: </w:t>
      </w:r>
    </w:p>
    <w:p w:rsidR="00062F8D" w:rsidRPr="00E5580C" w:rsidRDefault="00062F8D" w:rsidP="00062F8D">
      <w:pPr>
        <w:pStyle w:val="Default"/>
        <w:jc w:val="both"/>
        <w:rPr>
          <w:color w:val="auto"/>
          <w:sz w:val="28"/>
          <w:szCs w:val="28"/>
          <w:lang w:val="uk-UA"/>
        </w:rPr>
      </w:pPr>
      <w:r w:rsidRPr="00E5580C">
        <w:rPr>
          <w:color w:val="auto"/>
          <w:sz w:val="28"/>
          <w:szCs w:val="28"/>
          <w:lang w:val="uk-UA"/>
        </w:rPr>
        <w:t>–</w:t>
      </w:r>
      <w:r w:rsidRPr="00E5580C">
        <w:rPr>
          <w:color w:val="auto"/>
          <w:sz w:val="28"/>
          <w:szCs w:val="28"/>
        </w:rPr>
        <w:t xml:space="preserve"> </w:t>
      </w:r>
      <w:r w:rsidRPr="00E5580C">
        <w:rPr>
          <w:color w:val="auto"/>
          <w:sz w:val="28"/>
          <w:szCs w:val="28"/>
          <w:lang w:val="uk-UA"/>
        </w:rPr>
        <w:t xml:space="preserve"> </w:t>
      </w:r>
      <w:r w:rsidRPr="00E5580C">
        <w:rPr>
          <w:color w:val="auto"/>
          <w:sz w:val="28"/>
          <w:szCs w:val="28"/>
        </w:rPr>
        <w:t>мінімальна заробітної плати станом на 01.01.202</w:t>
      </w:r>
      <w:r w:rsidRPr="00E5580C">
        <w:rPr>
          <w:color w:val="auto"/>
          <w:sz w:val="28"/>
          <w:szCs w:val="28"/>
          <w:lang w:val="uk-UA"/>
        </w:rPr>
        <w:t>2</w:t>
      </w:r>
      <w:r w:rsidRPr="00E5580C">
        <w:rPr>
          <w:color w:val="auto"/>
          <w:sz w:val="28"/>
          <w:szCs w:val="28"/>
        </w:rPr>
        <w:t xml:space="preserve"> року встановлюється в </w:t>
      </w:r>
      <w:r w:rsidRPr="00E5580C">
        <w:rPr>
          <w:color w:val="auto"/>
          <w:sz w:val="28"/>
          <w:szCs w:val="28"/>
          <w:lang w:val="uk-UA"/>
        </w:rPr>
        <w:t xml:space="preserve">обсязі </w:t>
      </w:r>
      <w:r w:rsidRPr="00E5580C">
        <w:rPr>
          <w:color w:val="auto"/>
          <w:sz w:val="28"/>
          <w:szCs w:val="28"/>
        </w:rPr>
        <w:t xml:space="preserve"> </w:t>
      </w:r>
      <w:r w:rsidRPr="00E5580C">
        <w:rPr>
          <w:color w:val="auto"/>
          <w:sz w:val="28"/>
          <w:szCs w:val="28"/>
          <w:lang w:val="uk-UA"/>
        </w:rPr>
        <w:t>6500</w:t>
      </w:r>
      <w:r w:rsidRPr="00E5580C">
        <w:rPr>
          <w:color w:val="auto"/>
          <w:sz w:val="28"/>
          <w:szCs w:val="28"/>
        </w:rPr>
        <w:t xml:space="preserve"> грн.</w:t>
      </w:r>
      <w:r w:rsidRPr="00E5580C">
        <w:rPr>
          <w:color w:val="auto"/>
          <w:sz w:val="28"/>
          <w:szCs w:val="28"/>
          <w:lang w:val="uk-UA"/>
        </w:rPr>
        <w:t xml:space="preserve"> </w:t>
      </w:r>
      <w:r w:rsidRPr="00E5580C">
        <w:rPr>
          <w:color w:val="auto"/>
          <w:sz w:val="28"/>
          <w:szCs w:val="28"/>
        </w:rPr>
        <w:t>(</w:t>
      </w:r>
      <w:r w:rsidRPr="00E5580C">
        <w:rPr>
          <w:color w:val="auto"/>
          <w:sz w:val="28"/>
          <w:szCs w:val="28"/>
          <w:lang w:val="uk-UA"/>
        </w:rPr>
        <w:t>темпи росту</w:t>
      </w:r>
      <w:r w:rsidRPr="00E5580C">
        <w:rPr>
          <w:color w:val="auto"/>
          <w:sz w:val="28"/>
          <w:szCs w:val="28"/>
        </w:rPr>
        <w:t xml:space="preserve"> на </w:t>
      </w:r>
      <w:r w:rsidRPr="00E5580C">
        <w:rPr>
          <w:color w:val="auto"/>
          <w:sz w:val="28"/>
          <w:szCs w:val="28"/>
          <w:lang w:val="uk-UA"/>
        </w:rPr>
        <w:t>8,3%</w:t>
      </w:r>
      <w:r w:rsidRPr="00E5580C">
        <w:rPr>
          <w:color w:val="auto"/>
          <w:sz w:val="28"/>
          <w:szCs w:val="28"/>
        </w:rPr>
        <w:t xml:space="preserve"> до 20</w:t>
      </w:r>
      <w:r w:rsidRPr="00E5580C">
        <w:rPr>
          <w:color w:val="auto"/>
          <w:sz w:val="28"/>
          <w:szCs w:val="28"/>
          <w:lang w:val="uk-UA"/>
        </w:rPr>
        <w:t>21</w:t>
      </w:r>
      <w:r w:rsidRPr="00E5580C">
        <w:rPr>
          <w:color w:val="auto"/>
          <w:sz w:val="28"/>
          <w:szCs w:val="28"/>
        </w:rPr>
        <w:t xml:space="preserve"> року)</w:t>
      </w:r>
      <w:r w:rsidRPr="00E5580C">
        <w:rPr>
          <w:color w:val="auto"/>
          <w:sz w:val="28"/>
          <w:szCs w:val="28"/>
          <w:lang w:val="uk-UA"/>
        </w:rPr>
        <w:t xml:space="preserve">, з 01.10.2022 року – 6700 грн. </w:t>
      </w:r>
      <w:r w:rsidRPr="00E5580C">
        <w:rPr>
          <w:color w:val="auto"/>
          <w:sz w:val="28"/>
          <w:szCs w:val="28"/>
        </w:rPr>
        <w:t>(</w:t>
      </w:r>
      <w:r w:rsidRPr="00E5580C">
        <w:rPr>
          <w:color w:val="auto"/>
          <w:sz w:val="28"/>
          <w:szCs w:val="28"/>
          <w:lang w:val="uk-UA"/>
        </w:rPr>
        <w:t>темпи росту</w:t>
      </w:r>
      <w:r w:rsidRPr="00E5580C">
        <w:rPr>
          <w:color w:val="auto"/>
          <w:sz w:val="28"/>
          <w:szCs w:val="28"/>
        </w:rPr>
        <w:t xml:space="preserve"> на </w:t>
      </w:r>
      <w:r w:rsidRPr="00E5580C">
        <w:rPr>
          <w:color w:val="auto"/>
          <w:sz w:val="28"/>
          <w:szCs w:val="28"/>
          <w:lang w:val="uk-UA"/>
        </w:rPr>
        <w:t>3,1%</w:t>
      </w:r>
      <w:r w:rsidRPr="00E5580C">
        <w:rPr>
          <w:color w:val="auto"/>
          <w:sz w:val="28"/>
          <w:szCs w:val="28"/>
        </w:rPr>
        <w:t xml:space="preserve"> </w:t>
      </w:r>
      <w:r w:rsidRPr="00E5580C">
        <w:rPr>
          <w:color w:val="auto"/>
          <w:sz w:val="28"/>
          <w:szCs w:val="28"/>
          <w:lang w:val="uk-UA"/>
        </w:rPr>
        <w:t xml:space="preserve">); </w:t>
      </w:r>
      <w:r w:rsidRPr="00E5580C">
        <w:rPr>
          <w:color w:val="auto"/>
          <w:sz w:val="28"/>
          <w:szCs w:val="28"/>
        </w:rPr>
        <w:t>на 01.01.202</w:t>
      </w:r>
      <w:r w:rsidRPr="00E5580C">
        <w:rPr>
          <w:color w:val="auto"/>
          <w:sz w:val="28"/>
          <w:szCs w:val="28"/>
          <w:lang w:val="uk-UA"/>
        </w:rPr>
        <w:t>3</w:t>
      </w:r>
      <w:r w:rsidRPr="00E5580C">
        <w:rPr>
          <w:color w:val="auto"/>
          <w:sz w:val="28"/>
          <w:szCs w:val="28"/>
        </w:rPr>
        <w:t xml:space="preserve"> року в </w:t>
      </w:r>
      <w:r w:rsidRPr="00E5580C">
        <w:rPr>
          <w:color w:val="auto"/>
          <w:sz w:val="28"/>
          <w:szCs w:val="28"/>
          <w:lang w:val="uk-UA"/>
        </w:rPr>
        <w:t>обсязі 7176</w:t>
      </w:r>
      <w:r w:rsidRPr="00E5580C">
        <w:rPr>
          <w:color w:val="auto"/>
          <w:sz w:val="28"/>
          <w:szCs w:val="28"/>
        </w:rPr>
        <w:t xml:space="preserve"> грн. (</w:t>
      </w:r>
      <w:r w:rsidRPr="00E5580C">
        <w:rPr>
          <w:color w:val="auto"/>
          <w:sz w:val="28"/>
          <w:szCs w:val="28"/>
          <w:lang w:val="uk-UA"/>
        </w:rPr>
        <w:t xml:space="preserve">темпи росту </w:t>
      </w:r>
      <w:r w:rsidRPr="00E5580C">
        <w:rPr>
          <w:color w:val="auto"/>
          <w:sz w:val="28"/>
          <w:szCs w:val="28"/>
        </w:rPr>
        <w:t>на</w:t>
      </w:r>
      <w:r w:rsidRPr="00E5580C">
        <w:rPr>
          <w:b/>
          <w:color w:val="auto"/>
          <w:sz w:val="28"/>
          <w:szCs w:val="28"/>
        </w:rPr>
        <w:t xml:space="preserve"> </w:t>
      </w:r>
      <w:r w:rsidRPr="00E5580C">
        <w:rPr>
          <w:color w:val="auto"/>
          <w:sz w:val="28"/>
          <w:szCs w:val="28"/>
          <w:lang w:val="uk-UA"/>
        </w:rPr>
        <w:t>7</w:t>
      </w:r>
      <w:r w:rsidRPr="00E5580C">
        <w:rPr>
          <w:color w:val="auto"/>
          <w:sz w:val="28"/>
          <w:szCs w:val="28"/>
        </w:rPr>
        <w:t>,</w:t>
      </w:r>
      <w:r w:rsidRPr="00E5580C">
        <w:rPr>
          <w:color w:val="auto"/>
          <w:sz w:val="28"/>
          <w:szCs w:val="28"/>
          <w:lang w:val="uk-UA"/>
        </w:rPr>
        <w:t>1</w:t>
      </w:r>
      <w:r w:rsidRPr="00E5580C">
        <w:rPr>
          <w:color w:val="auto"/>
          <w:sz w:val="28"/>
          <w:szCs w:val="28"/>
        </w:rPr>
        <w:t>% до 202</w:t>
      </w:r>
      <w:r w:rsidRPr="00E5580C">
        <w:rPr>
          <w:color w:val="auto"/>
          <w:sz w:val="28"/>
          <w:szCs w:val="28"/>
          <w:lang w:val="uk-UA"/>
        </w:rPr>
        <w:t>2</w:t>
      </w:r>
      <w:r w:rsidRPr="00E5580C">
        <w:rPr>
          <w:color w:val="auto"/>
          <w:sz w:val="28"/>
          <w:szCs w:val="28"/>
        </w:rPr>
        <w:t xml:space="preserve"> року); </w:t>
      </w:r>
      <w:r w:rsidRPr="00E5580C">
        <w:rPr>
          <w:color w:val="auto"/>
          <w:sz w:val="28"/>
          <w:szCs w:val="28"/>
          <w:lang w:val="uk-UA"/>
        </w:rPr>
        <w:t xml:space="preserve"> на 01.01.2024 року  – 7665 грн</w:t>
      </w:r>
      <w:proofErr w:type="gramStart"/>
      <w:r w:rsidRPr="00E5580C">
        <w:rPr>
          <w:color w:val="auto"/>
          <w:sz w:val="28"/>
          <w:szCs w:val="28"/>
          <w:lang w:val="uk-UA"/>
        </w:rPr>
        <w:t>.(</w:t>
      </w:r>
      <w:proofErr w:type="gramEnd"/>
      <w:r w:rsidRPr="00E5580C">
        <w:rPr>
          <w:color w:val="auto"/>
          <w:sz w:val="28"/>
          <w:szCs w:val="28"/>
          <w:lang w:val="uk-UA"/>
        </w:rPr>
        <w:t xml:space="preserve"> темпи росту на 6,8% до 2023 року);</w:t>
      </w:r>
    </w:p>
    <w:p w:rsidR="00062F8D" w:rsidRPr="00E5580C" w:rsidRDefault="00062F8D" w:rsidP="00062F8D">
      <w:pPr>
        <w:pStyle w:val="Default"/>
        <w:jc w:val="both"/>
        <w:rPr>
          <w:color w:val="auto"/>
          <w:sz w:val="28"/>
          <w:szCs w:val="28"/>
          <w:lang w:val="uk-UA"/>
        </w:rPr>
      </w:pPr>
      <w:r w:rsidRPr="00E5580C">
        <w:rPr>
          <w:color w:val="auto"/>
          <w:sz w:val="28"/>
          <w:szCs w:val="28"/>
          <w:lang w:val="uk-UA"/>
        </w:rPr>
        <w:t>–  прожитковий мінімум для працездатних осіб</w:t>
      </w:r>
      <w:r w:rsidRPr="00E5580C">
        <w:rPr>
          <w:color w:val="auto"/>
          <w:sz w:val="28"/>
          <w:szCs w:val="28"/>
        </w:rPr>
        <w:t xml:space="preserve"> станом на 01.01.202</w:t>
      </w:r>
      <w:r w:rsidRPr="00E5580C">
        <w:rPr>
          <w:color w:val="auto"/>
          <w:sz w:val="28"/>
          <w:szCs w:val="28"/>
          <w:lang w:val="uk-UA"/>
        </w:rPr>
        <w:t>2</w:t>
      </w:r>
      <w:r w:rsidRPr="00E5580C">
        <w:rPr>
          <w:color w:val="auto"/>
          <w:sz w:val="28"/>
          <w:szCs w:val="28"/>
        </w:rPr>
        <w:t xml:space="preserve"> року встановлюється в </w:t>
      </w:r>
      <w:r w:rsidRPr="00E5580C">
        <w:rPr>
          <w:color w:val="auto"/>
          <w:sz w:val="28"/>
          <w:szCs w:val="28"/>
          <w:lang w:val="uk-UA"/>
        </w:rPr>
        <w:t xml:space="preserve">обсязі </w:t>
      </w:r>
      <w:r w:rsidRPr="00E5580C">
        <w:rPr>
          <w:color w:val="auto"/>
          <w:sz w:val="28"/>
          <w:szCs w:val="28"/>
        </w:rPr>
        <w:t xml:space="preserve"> </w:t>
      </w:r>
      <w:r w:rsidRPr="00E5580C">
        <w:rPr>
          <w:color w:val="auto"/>
          <w:sz w:val="28"/>
          <w:szCs w:val="28"/>
          <w:lang w:val="uk-UA"/>
        </w:rPr>
        <w:t>2481</w:t>
      </w:r>
      <w:r w:rsidRPr="00E5580C">
        <w:rPr>
          <w:color w:val="auto"/>
          <w:sz w:val="28"/>
          <w:szCs w:val="28"/>
        </w:rPr>
        <w:t xml:space="preserve"> грн.</w:t>
      </w:r>
      <w:r w:rsidRPr="00E5580C">
        <w:rPr>
          <w:color w:val="auto"/>
          <w:sz w:val="28"/>
          <w:szCs w:val="28"/>
          <w:lang w:val="uk-UA"/>
        </w:rPr>
        <w:t xml:space="preserve"> </w:t>
      </w:r>
      <w:r w:rsidRPr="00E5580C">
        <w:rPr>
          <w:color w:val="auto"/>
          <w:sz w:val="28"/>
          <w:szCs w:val="28"/>
        </w:rPr>
        <w:t>(</w:t>
      </w:r>
      <w:r w:rsidRPr="00E5580C">
        <w:rPr>
          <w:color w:val="auto"/>
          <w:sz w:val="28"/>
          <w:szCs w:val="28"/>
          <w:lang w:val="uk-UA"/>
        </w:rPr>
        <w:t>темпи росту</w:t>
      </w:r>
      <w:r w:rsidRPr="00E5580C">
        <w:rPr>
          <w:color w:val="auto"/>
          <w:sz w:val="28"/>
          <w:szCs w:val="28"/>
        </w:rPr>
        <w:t xml:space="preserve"> на </w:t>
      </w:r>
      <w:r w:rsidRPr="00E5580C">
        <w:rPr>
          <w:color w:val="auto"/>
          <w:sz w:val="28"/>
          <w:szCs w:val="28"/>
          <w:lang w:val="uk-UA"/>
        </w:rPr>
        <w:t>9,3%</w:t>
      </w:r>
      <w:r w:rsidRPr="00E5580C">
        <w:rPr>
          <w:color w:val="auto"/>
          <w:sz w:val="28"/>
          <w:szCs w:val="28"/>
        </w:rPr>
        <w:t xml:space="preserve"> до 20</w:t>
      </w:r>
      <w:r w:rsidRPr="00E5580C">
        <w:rPr>
          <w:color w:val="auto"/>
          <w:sz w:val="28"/>
          <w:szCs w:val="28"/>
          <w:lang w:val="uk-UA"/>
        </w:rPr>
        <w:t>21</w:t>
      </w:r>
      <w:r w:rsidRPr="00E5580C">
        <w:rPr>
          <w:color w:val="auto"/>
          <w:sz w:val="28"/>
          <w:szCs w:val="28"/>
        </w:rPr>
        <w:t xml:space="preserve"> року)</w:t>
      </w:r>
      <w:r w:rsidRPr="00E5580C">
        <w:rPr>
          <w:color w:val="auto"/>
          <w:sz w:val="28"/>
          <w:szCs w:val="28"/>
          <w:lang w:val="uk-UA"/>
        </w:rPr>
        <w:t xml:space="preserve">; </w:t>
      </w:r>
      <w:r w:rsidRPr="00E5580C">
        <w:rPr>
          <w:color w:val="auto"/>
          <w:sz w:val="28"/>
          <w:szCs w:val="28"/>
        </w:rPr>
        <w:t>на 01.01.202</w:t>
      </w:r>
      <w:r w:rsidRPr="00E5580C">
        <w:rPr>
          <w:color w:val="auto"/>
          <w:sz w:val="28"/>
          <w:szCs w:val="28"/>
          <w:lang w:val="uk-UA"/>
        </w:rPr>
        <w:t>3</w:t>
      </w:r>
      <w:r w:rsidRPr="00E5580C">
        <w:rPr>
          <w:color w:val="auto"/>
          <w:sz w:val="28"/>
          <w:szCs w:val="28"/>
        </w:rPr>
        <w:t xml:space="preserve"> року в </w:t>
      </w:r>
      <w:r w:rsidRPr="00E5580C">
        <w:rPr>
          <w:color w:val="auto"/>
          <w:sz w:val="28"/>
          <w:szCs w:val="28"/>
          <w:lang w:val="uk-UA"/>
        </w:rPr>
        <w:t>обсязі 2684</w:t>
      </w:r>
      <w:r w:rsidRPr="00E5580C">
        <w:rPr>
          <w:color w:val="auto"/>
          <w:sz w:val="28"/>
          <w:szCs w:val="28"/>
        </w:rPr>
        <w:t xml:space="preserve"> грн. (</w:t>
      </w:r>
      <w:r w:rsidRPr="00E5580C">
        <w:rPr>
          <w:color w:val="auto"/>
          <w:sz w:val="28"/>
          <w:szCs w:val="28"/>
          <w:lang w:val="uk-UA"/>
        </w:rPr>
        <w:t xml:space="preserve">темпи росту </w:t>
      </w:r>
      <w:r w:rsidRPr="00E5580C">
        <w:rPr>
          <w:color w:val="auto"/>
          <w:sz w:val="28"/>
          <w:szCs w:val="28"/>
        </w:rPr>
        <w:t>на</w:t>
      </w:r>
      <w:r w:rsidRPr="00E5580C">
        <w:rPr>
          <w:b/>
          <w:color w:val="auto"/>
          <w:sz w:val="28"/>
          <w:szCs w:val="28"/>
        </w:rPr>
        <w:t xml:space="preserve"> </w:t>
      </w:r>
      <w:r w:rsidRPr="00E5580C">
        <w:rPr>
          <w:color w:val="auto"/>
          <w:sz w:val="28"/>
          <w:szCs w:val="28"/>
          <w:lang w:val="uk-UA"/>
        </w:rPr>
        <w:t>8</w:t>
      </w:r>
      <w:r w:rsidRPr="00E5580C">
        <w:rPr>
          <w:color w:val="auto"/>
          <w:sz w:val="28"/>
          <w:szCs w:val="28"/>
        </w:rPr>
        <w:t>,</w:t>
      </w:r>
      <w:r w:rsidRPr="00E5580C">
        <w:rPr>
          <w:color w:val="auto"/>
          <w:sz w:val="28"/>
          <w:szCs w:val="28"/>
          <w:lang w:val="uk-UA"/>
        </w:rPr>
        <w:t>2</w:t>
      </w:r>
      <w:r w:rsidRPr="00E5580C">
        <w:rPr>
          <w:color w:val="auto"/>
          <w:sz w:val="28"/>
          <w:szCs w:val="28"/>
        </w:rPr>
        <w:t>% до 202</w:t>
      </w:r>
      <w:r w:rsidRPr="00E5580C">
        <w:rPr>
          <w:color w:val="auto"/>
          <w:sz w:val="28"/>
          <w:szCs w:val="28"/>
          <w:lang w:val="uk-UA"/>
        </w:rPr>
        <w:t>2</w:t>
      </w:r>
      <w:r w:rsidRPr="00E5580C">
        <w:rPr>
          <w:color w:val="auto"/>
          <w:sz w:val="28"/>
          <w:szCs w:val="28"/>
        </w:rPr>
        <w:t xml:space="preserve"> року); </w:t>
      </w:r>
      <w:r w:rsidRPr="00E5580C">
        <w:rPr>
          <w:color w:val="auto"/>
          <w:sz w:val="28"/>
          <w:szCs w:val="28"/>
          <w:lang w:val="uk-UA"/>
        </w:rPr>
        <w:t xml:space="preserve"> на 01.01.2024 року  – 2880 грн</w:t>
      </w:r>
      <w:proofErr w:type="gramStart"/>
      <w:r w:rsidRPr="00E5580C">
        <w:rPr>
          <w:color w:val="auto"/>
          <w:sz w:val="28"/>
          <w:szCs w:val="28"/>
          <w:lang w:val="uk-UA"/>
        </w:rPr>
        <w:t>.(</w:t>
      </w:r>
      <w:proofErr w:type="gramEnd"/>
      <w:r w:rsidRPr="00E5580C">
        <w:rPr>
          <w:color w:val="auto"/>
          <w:sz w:val="28"/>
          <w:szCs w:val="28"/>
          <w:lang w:val="uk-UA"/>
        </w:rPr>
        <w:t xml:space="preserve"> темпи росту на 7,3% до 2023 року);</w:t>
      </w:r>
    </w:p>
    <w:p w:rsidR="00062F8D" w:rsidRPr="00E5580C" w:rsidRDefault="00062F8D" w:rsidP="00062F8D">
      <w:pPr>
        <w:pStyle w:val="Default"/>
        <w:jc w:val="both"/>
        <w:rPr>
          <w:b/>
          <w:bCs/>
          <w:sz w:val="28"/>
          <w:szCs w:val="28"/>
        </w:rPr>
      </w:pPr>
      <w:r w:rsidRPr="00E5580C">
        <w:rPr>
          <w:sz w:val="28"/>
          <w:szCs w:val="28"/>
          <w:lang w:val="uk-UA"/>
        </w:rPr>
        <w:t>–</w:t>
      </w:r>
      <w:r w:rsidRPr="00E5580C">
        <w:rPr>
          <w:sz w:val="28"/>
          <w:szCs w:val="28"/>
        </w:rPr>
        <w:t xml:space="preserve"> </w:t>
      </w:r>
      <w:r w:rsidRPr="00E5580C">
        <w:rPr>
          <w:sz w:val="28"/>
          <w:szCs w:val="28"/>
          <w:lang w:val="uk-UA"/>
        </w:rPr>
        <w:t xml:space="preserve">  </w:t>
      </w:r>
      <w:r w:rsidRPr="00E5580C">
        <w:rPr>
          <w:sz w:val="28"/>
          <w:szCs w:val="28"/>
        </w:rPr>
        <w:t>розмір посадового окладу працівника 1-го тарифного розряду встановлюється станом на 01.01.2022 року в обсязі 2983 грн. (</w:t>
      </w:r>
      <w:proofErr w:type="gramStart"/>
      <w:r w:rsidRPr="00E5580C">
        <w:rPr>
          <w:sz w:val="28"/>
          <w:szCs w:val="28"/>
        </w:rPr>
        <w:t>р</w:t>
      </w:r>
      <w:proofErr w:type="gramEnd"/>
      <w:r w:rsidRPr="00E5580C">
        <w:rPr>
          <w:sz w:val="28"/>
          <w:szCs w:val="28"/>
        </w:rPr>
        <w:t>іст на 11,7% до 202</w:t>
      </w:r>
      <w:r w:rsidRPr="00E5580C">
        <w:rPr>
          <w:sz w:val="28"/>
          <w:szCs w:val="28"/>
          <w:lang w:val="uk-UA"/>
        </w:rPr>
        <w:t>1</w:t>
      </w:r>
      <w:r w:rsidRPr="00E5580C">
        <w:rPr>
          <w:sz w:val="28"/>
          <w:szCs w:val="28"/>
        </w:rPr>
        <w:t xml:space="preserve"> року), з 01.10.2022 року – 2982 грн.(ріст на 3,1%); на 01.01.2023 року – 3193 грн. (ріст на 7,1% до 2022 року);  на  2024 року – 3411 грн. ( ріст на 6,8% до 2023 року).</w:t>
      </w:r>
    </w:p>
    <w:p w:rsidR="00906F87" w:rsidRPr="00E5580C" w:rsidRDefault="001F5301" w:rsidP="00FB5BBD">
      <w:pPr>
        <w:spacing w:after="0"/>
        <w:jc w:val="both"/>
        <w:rPr>
          <w:rFonts w:cs="Times New Roman"/>
          <w:szCs w:val="28"/>
        </w:rPr>
      </w:pPr>
      <w:r w:rsidRPr="00E5580C">
        <w:rPr>
          <w:rFonts w:cs="Times New Roman"/>
          <w:szCs w:val="28"/>
        </w:rPr>
        <w:t xml:space="preserve">        Обсяг ресурсу бюджету </w:t>
      </w:r>
      <w:r w:rsidR="00492E6B" w:rsidRPr="00E5580C">
        <w:rPr>
          <w:rFonts w:cs="Times New Roman"/>
          <w:szCs w:val="28"/>
        </w:rPr>
        <w:t>Золочівсько</w:t>
      </w:r>
      <w:r w:rsidR="00981781" w:rsidRPr="00E5580C">
        <w:rPr>
          <w:rFonts w:cs="Times New Roman"/>
          <w:szCs w:val="28"/>
        </w:rPr>
        <w:t>ї міської</w:t>
      </w:r>
      <w:r w:rsidRPr="00E5580C">
        <w:rPr>
          <w:rFonts w:cs="Times New Roman"/>
          <w:szCs w:val="28"/>
        </w:rPr>
        <w:t xml:space="preserve"> територіальної громади на 2022-2024 роки прогнозується </w:t>
      </w:r>
      <w:r w:rsidR="00311B2E" w:rsidRPr="00E5580C">
        <w:rPr>
          <w:rFonts w:cs="Times New Roman"/>
          <w:szCs w:val="28"/>
        </w:rPr>
        <w:t>396641</w:t>
      </w:r>
      <w:r w:rsidR="00636F76" w:rsidRPr="00E5580C">
        <w:rPr>
          <w:rFonts w:cs="Times New Roman"/>
          <w:szCs w:val="28"/>
        </w:rPr>
        <w:t>,</w:t>
      </w:r>
      <w:r w:rsidR="00311B2E" w:rsidRPr="00E5580C">
        <w:rPr>
          <w:rFonts w:cs="Times New Roman"/>
          <w:szCs w:val="28"/>
        </w:rPr>
        <w:t>3</w:t>
      </w:r>
      <w:r w:rsidR="00636F76" w:rsidRPr="00E5580C">
        <w:rPr>
          <w:rFonts w:cs="Times New Roman"/>
          <w:szCs w:val="28"/>
        </w:rPr>
        <w:t xml:space="preserve"> тис.грн.</w:t>
      </w:r>
      <w:r w:rsidRPr="00E5580C">
        <w:rPr>
          <w:rFonts w:cs="Times New Roman"/>
          <w:szCs w:val="28"/>
        </w:rPr>
        <w:t xml:space="preserve">, </w:t>
      </w:r>
      <w:r w:rsidR="00311B2E" w:rsidRPr="00E5580C">
        <w:rPr>
          <w:rFonts w:cs="Times New Roman"/>
          <w:szCs w:val="28"/>
        </w:rPr>
        <w:t>422958</w:t>
      </w:r>
      <w:r w:rsidR="00636F76" w:rsidRPr="00E5580C">
        <w:rPr>
          <w:rFonts w:cs="Times New Roman"/>
          <w:szCs w:val="28"/>
        </w:rPr>
        <w:t>,</w:t>
      </w:r>
      <w:r w:rsidR="00311B2E" w:rsidRPr="00E5580C">
        <w:rPr>
          <w:rFonts w:cs="Times New Roman"/>
          <w:szCs w:val="28"/>
        </w:rPr>
        <w:t>9</w:t>
      </w:r>
      <w:r w:rsidR="00636F76" w:rsidRPr="00E5580C">
        <w:rPr>
          <w:rFonts w:cs="Times New Roman"/>
          <w:szCs w:val="28"/>
        </w:rPr>
        <w:t xml:space="preserve"> тис.грн.</w:t>
      </w:r>
      <w:r w:rsidRPr="00E5580C">
        <w:rPr>
          <w:rFonts w:cs="Times New Roman"/>
          <w:szCs w:val="28"/>
        </w:rPr>
        <w:t xml:space="preserve"> та  </w:t>
      </w:r>
      <w:r w:rsidR="00311B2E" w:rsidRPr="00E5580C">
        <w:rPr>
          <w:rFonts w:cs="Times New Roman"/>
          <w:szCs w:val="28"/>
        </w:rPr>
        <w:t>446611</w:t>
      </w:r>
      <w:r w:rsidR="00636F76" w:rsidRPr="00E5580C">
        <w:rPr>
          <w:rFonts w:cs="Times New Roman"/>
          <w:szCs w:val="28"/>
        </w:rPr>
        <w:t>,</w:t>
      </w:r>
      <w:r w:rsidR="00311B2E" w:rsidRPr="00E5580C">
        <w:rPr>
          <w:rFonts w:cs="Times New Roman"/>
          <w:szCs w:val="28"/>
        </w:rPr>
        <w:t>1</w:t>
      </w:r>
      <w:r w:rsidR="00636F76" w:rsidRPr="00E5580C">
        <w:rPr>
          <w:rFonts w:cs="Times New Roman"/>
          <w:szCs w:val="28"/>
        </w:rPr>
        <w:t xml:space="preserve"> тис.грн.</w:t>
      </w:r>
      <w:r w:rsidRPr="00E5580C">
        <w:rPr>
          <w:rFonts w:cs="Times New Roman"/>
          <w:szCs w:val="28"/>
        </w:rPr>
        <w:t xml:space="preserve"> відповідно. Загальні показники надходжень до бюджету та граничні показники видатків бюджету наведені у додатку 1 до про</w:t>
      </w:r>
      <w:r w:rsidR="00311B2E" w:rsidRPr="00E5580C">
        <w:rPr>
          <w:rFonts w:cs="Times New Roman"/>
          <w:szCs w:val="28"/>
        </w:rPr>
        <w:t>е</w:t>
      </w:r>
      <w:r w:rsidRPr="00E5580C">
        <w:rPr>
          <w:rFonts w:cs="Times New Roman"/>
          <w:szCs w:val="28"/>
        </w:rPr>
        <w:t xml:space="preserve">кту прогнозу бюджету. </w:t>
      </w:r>
    </w:p>
    <w:p w:rsidR="001F5301" w:rsidRPr="00E5580C" w:rsidRDefault="001F5301" w:rsidP="00185657">
      <w:pPr>
        <w:tabs>
          <w:tab w:val="left" w:pos="1134"/>
        </w:tabs>
        <w:spacing w:after="120"/>
        <w:jc w:val="center"/>
        <w:rPr>
          <w:rFonts w:cs="Times New Roman"/>
          <w:b/>
          <w:szCs w:val="28"/>
        </w:rPr>
      </w:pPr>
      <w:r w:rsidRPr="00E5580C">
        <w:rPr>
          <w:rFonts w:cs="Times New Roman"/>
          <w:b/>
          <w:szCs w:val="28"/>
          <w:lang w:val="en-US"/>
        </w:rPr>
        <w:t>IV</w:t>
      </w:r>
      <w:r w:rsidRPr="00E5580C">
        <w:rPr>
          <w:rFonts w:cs="Times New Roman"/>
          <w:b/>
          <w:szCs w:val="28"/>
        </w:rPr>
        <w:t xml:space="preserve">. Показники доходів </w:t>
      </w:r>
      <w:r w:rsidR="00B4088C" w:rsidRPr="00E5580C">
        <w:rPr>
          <w:rFonts w:cs="Times New Roman"/>
          <w:b/>
          <w:szCs w:val="28"/>
        </w:rPr>
        <w:t>міського</w:t>
      </w:r>
      <w:r w:rsidRPr="00E5580C">
        <w:rPr>
          <w:rFonts w:cs="Times New Roman"/>
          <w:b/>
          <w:szCs w:val="28"/>
        </w:rPr>
        <w:t xml:space="preserve"> бюджету</w:t>
      </w:r>
    </w:p>
    <w:p w:rsidR="00062F8D" w:rsidRPr="00E5580C" w:rsidRDefault="00062F8D" w:rsidP="00062F8D">
      <w:pPr>
        <w:pStyle w:val="ab"/>
        <w:ind w:firstLine="851"/>
        <w:jc w:val="both"/>
        <w:rPr>
          <w:rFonts w:ascii="Times New Roman" w:hAnsi="Times New Roman" w:cs="Times New Roman"/>
          <w:sz w:val="28"/>
          <w:szCs w:val="28"/>
        </w:rPr>
      </w:pPr>
      <w:r w:rsidRPr="00E5580C">
        <w:rPr>
          <w:rFonts w:ascii="Times New Roman" w:hAnsi="Times New Roman" w:cs="Times New Roman"/>
          <w:sz w:val="28"/>
          <w:szCs w:val="28"/>
        </w:rPr>
        <w:t xml:space="preserve">У середньостроковій перспективі (2022 - 2024 роки) прогнозується, що податкова база місцевих бюджетів може зазнати змін в частині місцевого оподаткування. Проте, враховуючи, що на сьогодні відповідні законопроєкти лише проходять стадію попереднього розгляду, фінансова база бюджету громади на три наступних роки розрахована, базуючись на нормах чинного податкового законодавства. </w:t>
      </w:r>
    </w:p>
    <w:p w:rsidR="00062F8D" w:rsidRPr="00E5580C" w:rsidRDefault="00062F8D" w:rsidP="00062F8D">
      <w:pPr>
        <w:pStyle w:val="ab"/>
        <w:ind w:firstLine="851"/>
        <w:jc w:val="both"/>
        <w:rPr>
          <w:rFonts w:ascii="Times New Roman" w:hAnsi="Times New Roman" w:cs="Times New Roman"/>
          <w:sz w:val="28"/>
          <w:szCs w:val="28"/>
        </w:rPr>
      </w:pPr>
      <w:r w:rsidRPr="00E5580C">
        <w:rPr>
          <w:rFonts w:ascii="Times New Roman" w:hAnsi="Times New Roman" w:cs="Times New Roman"/>
          <w:sz w:val="28"/>
          <w:szCs w:val="28"/>
        </w:rPr>
        <w:t>При прогнозуванні обсягу доходів бюджету Золочівської міської територіальної громади Золочівського району Львівської області на 2022-2024 роки враховано:</w:t>
      </w:r>
    </w:p>
    <w:p w:rsidR="00062F8D" w:rsidRPr="00E5580C" w:rsidRDefault="00062F8D" w:rsidP="00062F8D">
      <w:pPr>
        <w:pStyle w:val="ab"/>
        <w:ind w:firstLine="851"/>
        <w:jc w:val="both"/>
        <w:rPr>
          <w:rFonts w:ascii="Times New Roman" w:hAnsi="Times New Roman" w:cs="Times New Roman"/>
          <w:sz w:val="28"/>
          <w:szCs w:val="28"/>
        </w:rPr>
      </w:pPr>
      <w:r w:rsidRPr="00E5580C">
        <w:rPr>
          <w:rFonts w:ascii="Times New Roman" w:hAnsi="Times New Roman" w:cs="Times New Roman"/>
          <w:sz w:val="28"/>
          <w:szCs w:val="28"/>
        </w:rPr>
        <w:t xml:space="preserve">- макропоказники економічного і соціального розвитку України на 2022-2024 роки, схвалені постановою Кабінету Міністрів України від 31 травня 2021 р. № 586 та визначені Бюджетною декларацією на 2022-2024 роки, що затверджена постановою Кабінету Міністрів України від 31.05.2021 № 548; </w:t>
      </w:r>
    </w:p>
    <w:p w:rsidR="00062F8D" w:rsidRPr="00E5580C" w:rsidRDefault="00062F8D" w:rsidP="00062F8D">
      <w:pPr>
        <w:pStyle w:val="ab"/>
        <w:ind w:firstLine="851"/>
        <w:jc w:val="both"/>
        <w:rPr>
          <w:rFonts w:ascii="Times New Roman" w:hAnsi="Times New Roman" w:cs="Times New Roman"/>
          <w:sz w:val="28"/>
          <w:szCs w:val="28"/>
        </w:rPr>
      </w:pPr>
      <w:r w:rsidRPr="00E5580C">
        <w:rPr>
          <w:rFonts w:ascii="Times New Roman" w:hAnsi="Times New Roman" w:cs="Times New Roman"/>
          <w:sz w:val="28"/>
          <w:szCs w:val="28"/>
        </w:rPr>
        <w:t xml:space="preserve"> - застосування чинних ставок загальнодержавних податків; </w:t>
      </w:r>
    </w:p>
    <w:p w:rsidR="00062F8D" w:rsidRPr="00E5580C" w:rsidRDefault="00062F8D" w:rsidP="00062F8D">
      <w:pPr>
        <w:pStyle w:val="ab"/>
        <w:ind w:firstLine="851"/>
        <w:jc w:val="both"/>
        <w:rPr>
          <w:rFonts w:ascii="Times New Roman" w:hAnsi="Times New Roman" w:cs="Times New Roman"/>
          <w:sz w:val="28"/>
          <w:szCs w:val="28"/>
        </w:rPr>
      </w:pPr>
      <w:r w:rsidRPr="00E5580C">
        <w:rPr>
          <w:rFonts w:ascii="Times New Roman" w:hAnsi="Times New Roman" w:cs="Times New Roman"/>
          <w:sz w:val="28"/>
          <w:szCs w:val="28"/>
        </w:rPr>
        <w:t>- застосування індексу споживчих цін, що використовується для визначення коефіцієнта індексації нормативної грошової оцінки земель населених пунктів, із значенням 100 відсотків;</w:t>
      </w:r>
    </w:p>
    <w:p w:rsidR="00062F8D" w:rsidRPr="00E5580C" w:rsidRDefault="00062F8D" w:rsidP="00062F8D">
      <w:pPr>
        <w:pStyle w:val="ab"/>
        <w:ind w:firstLine="851"/>
        <w:jc w:val="both"/>
        <w:rPr>
          <w:rFonts w:ascii="Times New Roman" w:hAnsi="Times New Roman" w:cs="Times New Roman"/>
          <w:sz w:val="28"/>
          <w:szCs w:val="28"/>
        </w:rPr>
      </w:pPr>
      <w:r w:rsidRPr="00E5580C">
        <w:rPr>
          <w:rFonts w:ascii="Times New Roman" w:hAnsi="Times New Roman" w:cs="Times New Roman"/>
          <w:sz w:val="28"/>
          <w:szCs w:val="28"/>
        </w:rPr>
        <w:t xml:space="preserve"> - підвищення розміру прожиткового мінімуму, мінімальної заробітної плати та посадового окладу (тарифної ставки) працівника I тарифного розряду Єдиної тарифної сітки; </w:t>
      </w:r>
    </w:p>
    <w:p w:rsidR="00062F8D" w:rsidRPr="00E5580C" w:rsidRDefault="00062F8D" w:rsidP="00062F8D">
      <w:pPr>
        <w:pStyle w:val="ab"/>
        <w:ind w:firstLine="851"/>
        <w:jc w:val="both"/>
        <w:rPr>
          <w:rFonts w:ascii="Times New Roman" w:hAnsi="Times New Roman" w:cs="Times New Roman"/>
          <w:sz w:val="28"/>
          <w:szCs w:val="28"/>
        </w:rPr>
      </w:pPr>
      <w:r w:rsidRPr="00E5580C">
        <w:rPr>
          <w:rFonts w:ascii="Times New Roman" w:hAnsi="Times New Roman" w:cs="Times New Roman"/>
          <w:sz w:val="28"/>
          <w:szCs w:val="28"/>
        </w:rPr>
        <w:lastRenderedPageBreak/>
        <w:t xml:space="preserve">- застосування ставок місцевих податків, встановлених рішенням сесії міської ради від  20.05.2021 року  №482 „Про встановлення місцевих податків і зборів на території Золочівської міської територіальної громади Золочівського району Львівської області”; </w:t>
      </w:r>
    </w:p>
    <w:p w:rsidR="00062F8D" w:rsidRPr="00E5580C" w:rsidRDefault="00062F8D" w:rsidP="00062F8D">
      <w:pPr>
        <w:pStyle w:val="ab"/>
        <w:ind w:firstLine="851"/>
        <w:jc w:val="both"/>
        <w:rPr>
          <w:rFonts w:ascii="Times New Roman" w:hAnsi="Times New Roman" w:cs="Times New Roman"/>
          <w:sz w:val="28"/>
          <w:szCs w:val="28"/>
        </w:rPr>
      </w:pPr>
      <w:r w:rsidRPr="00E5580C">
        <w:rPr>
          <w:rFonts w:ascii="Times New Roman" w:hAnsi="Times New Roman" w:cs="Times New Roman"/>
          <w:sz w:val="28"/>
          <w:szCs w:val="28"/>
        </w:rPr>
        <w:t xml:space="preserve">- прогнозні втрати бюджету територіальної громади міста внаслідок надання пільг фізичним та юридичним особам зі сплати земельного податку та зі сплати податку на нерухоме майно, відмінне від земельної ділянки зі сплати земельного податку та  рішенням сесії міської ради від  20.05.2021 року  №482 „Про встановлення місцевих податків і зборів на території Золочівської міської територіальної громади Золочівського району Львівської області”; </w:t>
      </w:r>
    </w:p>
    <w:p w:rsidR="00062F8D" w:rsidRPr="00E5580C" w:rsidRDefault="00062F8D" w:rsidP="00062F8D">
      <w:pPr>
        <w:pStyle w:val="ab"/>
        <w:ind w:firstLine="851"/>
        <w:jc w:val="both"/>
        <w:rPr>
          <w:rFonts w:ascii="Times New Roman" w:hAnsi="Times New Roman" w:cs="Times New Roman"/>
          <w:sz w:val="28"/>
          <w:szCs w:val="28"/>
        </w:rPr>
      </w:pPr>
      <w:r w:rsidRPr="00E5580C">
        <w:rPr>
          <w:rFonts w:ascii="Times New Roman" w:hAnsi="Times New Roman" w:cs="Times New Roman"/>
          <w:sz w:val="28"/>
          <w:szCs w:val="28"/>
        </w:rPr>
        <w:t>- фактичне виконання дохідної частини бюджету міської територіальної громади за результатами 2020 року та 6 місяців 2021 року.</w:t>
      </w:r>
    </w:p>
    <w:p w:rsidR="00062F8D" w:rsidRPr="00E5580C" w:rsidRDefault="00062F8D" w:rsidP="00062F8D">
      <w:pPr>
        <w:pStyle w:val="ab"/>
        <w:ind w:firstLine="851"/>
        <w:jc w:val="both"/>
        <w:rPr>
          <w:rFonts w:ascii="Times New Roman" w:hAnsi="Times New Roman" w:cs="Times New Roman"/>
          <w:sz w:val="28"/>
          <w:szCs w:val="28"/>
        </w:rPr>
      </w:pPr>
    </w:p>
    <w:p w:rsidR="00062F8D" w:rsidRPr="00E5580C" w:rsidRDefault="00062F8D" w:rsidP="00062F8D">
      <w:pPr>
        <w:pStyle w:val="ab"/>
        <w:ind w:firstLine="851"/>
        <w:jc w:val="both"/>
        <w:rPr>
          <w:rFonts w:ascii="Times New Roman" w:hAnsi="Times New Roman" w:cs="Times New Roman"/>
          <w:sz w:val="28"/>
          <w:szCs w:val="28"/>
        </w:rPr>
      </w:pPr>
      <w:r w:rsidRPr="00E5580C">
        <w:rPr>
          <w:rFonts w:ascii="Times New Roman" w:hAnsi="Times New Roman" w:cs="Times New Roman"/>
          <w:sz w:val="28"/>
          <w:szCs w:val="28"/>
        </w:rPr>
        <w:t>Показники доходів бюджету громади наведені в додатку 2 до прогнозу бюджету.</w:t>
      </w:r>
    </w:p>
    <w:p w:rsidR="00062F8D" w:rsidRPr="00E5580C" w:rsidRDefault="00062F8D" w:rsidP="00062F8D">
      <w:pPr>
        <w:ind w:firstLine="851"/>
        <w:jc w:val="both"/>
        <w:rPr>
          <w:rFonts w:cs="Times New Roman"/>
          <w:szCs w:val="28"/>
        </w:rPr>
      </w:pPr>
      <w:r w:rsidRPr="00E5580C">
        <w:rPr>
          <w:rFonts w:cs="Times New Roman"/>
          <w:szCs w:val="28"/>
        </w:rPr>
        <w:t>В структурі доходів частка податкових та неподаткових надходжень  – становить майже 66% та міжбюджетних трансфертів – більше 34%.</w:t>
      </w:r>
    </w:p>
    <w:p w:rsidR="00062F8D" w:rsidRPr="00E5580C" w:rsidRDefault="00062F8D" w:rsidP="00062F8D">
      <w:pPr>
        <w:ind w:firstLine="851"/>
        <w:jc w:val="both"/>
        <w:rPr>
          <w:rFonts w:cs="Times New Roman"/>
          <w:szCs w:val="28"/>
        </w:rPr>
      </w:pPr>
      <w:r w:rsidRPr="00E5580C">
        <w:rPr>
          <w:rFonts w:cs="Times New Roman"/>
          <w:szCs w:val="28"/>
        </w:rPr>
        <w:t>Обсяг доходів загального і спеціального фондів бюджету міської територіальної громади, без врахування міжбюджетних трансфертів, на 2022 рік  прогнозується на рівні 260475,5 тис.грн., 2023 рік – 272908,6 тис.грн., 2014 рік – 284888,7 тис.грн.</w:t>
      </w:r>
    </w:p>
    <w:p w:rsidR="00062F8D" w:rsidRPr="00E5580C" w:rsidRDefault="00062F8D" w:rsidP="00062F8D">
      <w:pPr>
        <w:ind w:firstLine="851"/>
        <w:jc w:val="both"/>
        <w:rPr>
          <w:rFonts w:cs="Times New Roman"/>
          <w:szCs w:val="28"/>
        </w:rPr>
      </w:pPr>
      <w:r w:rsidRPr="00E5580C">
        <w:rPr>
          <w:rFonts w:cs="Times New Roman"/>
          <w:szCs w:val="28"/>
        </w:rPr>
        <w:t xml:space="preserve"> Основним джерелом формування дохідної частини бюджету громади, як і в попередні періоди, залишатиметься податок на доходи фізичних осіб. Прогноз надходжень з податку на доходи фізичних осіб розраховано відповідно до єдиної ставки (18%) оподаткування доходів фізичних осіб, сталого підвищення мінімальної заробітної плати та прожиткового мінімуму, подальшого зростання середньомісячної заробітної плати найманих працівників, легалізації виплати заробітної плати. </w:t>
      </w:r>
    </w:p>
    <w:p w:rsidR="00062F8D" w:rsidRPr="00E5580C" w:rsidRDefault="00062F8D" w:rsidP="00062F8D">
      <w:pPr>
        <w:ind w:firstLine="851"/>
        <w:jc w:val="both"/>
        <w:rPr>
          <w:rFonts w:cs="Times New Roman"/>
          <w:szCs w:val="28"/>
        </w:rPr>
      </w:pPr>
      <w:r w:rsidRPr="00E5580C">
        <w:rPr>
          <w:rFonts w:cs="Times New Roman"/>
          <w:szCs w:val="28"/>
        </w:rPr>
        <w:t xml:space="preserve">Єдиний податок – це другий бюджетоутворюючий податок. Прогнозний обсяг єдиного податку на 2022-2024 роки розраховано з урахуванням фактичних надходжень, кількості платників, за ставками, встановленими рішенням Золочівської міської ради Золочівського району Львівської області від 20 травня 2021 року № 482. </w:t>
      </w:r>
    </w:p>
    <w:p w:rsidR="00062F8D" w:rsidRPr="00E5580C" w:rsidRDefault="00062F8D" w:rsidP="00062F8D">
      <w:pPr>
        <w:ind w:firstLine="851"/>
        <w:jc w:val="both"/>
        <w:rPr>
          <w:rFonts w:cs="Times New Roman"/>
          <w:szCs w:val="28"/>
        </w:rPr>
      </w:pPr>
      <w:r w:rsidRPr="00E5580C">
        <w:rPr>
          <w:rFonts w:cs="Times New Roman"/>
          <w:szCs w:val="28"/>
        </w:rPr>
        <w:t>Розрахунок прогнозної суми податку на майно  (плата за землю, податок на нерухоме майно, відмінне від земельної ділянки, транспортний податок) на 2022-2024 роки проведено за підсумками фактичних надходжень за попередні роки, за ставками, визначеними рішенням Золочівської міської ради Золочівського району Львівської області від 20 травня 2021 року № 482, застосування до 2023 року включно, індексу споживчих цін, що використовується для визначення коефіцієнта індексації нормативної грошової оцінки сільськогосподарських угідь, земель населених пунктів та інших земель несільськогосподарського призначення із значенням 100 відсотків</w:t>
      </w:r>
      <w:r w:rsidR="00CC4B5B" w:rsidRPr="00E5580C">
        <w:rPr>
          <w:rFonts w:cs="Times New Roman"/>
          <w:szCs w:val="28"/>
        </w:rPr>
        <w:t xml:space="preserve"> та з урахуванням збільшення бази оподаткування,</w:t>
      </w:r>
    </w:p>
    <w:p w:rsidR="00062F8D" w:rsidRPr="00E5580C" w:rsidRDefault="00062F8D" w:rsidP="00062F8D">
      <w:pPr>
        <w:ind w:firstLine="851"/>
        <w:jc w:val="both"/>
        <w:rPr>
          <w:rFonts w:cs="Times New Roman"/>
          <w:szCs w:val="28"/>
        </w:rPr>
      </w:pPr>
      <w:r w:rsidRPr="00E5580C">
        <w:rPr>
          <w:rFonts w:cs="Times New Roman"/>
          <w:szCs w:val="28"/>
        </w:rPr>
        <w:t xml:space="preserve"> Прогнозні надходження акцизного податку на 2022-2024 роки розраховані виходячи з фактичних надходжень, розширення бази оподаткування, за ставкою 5% в частині акцизного податку з реалізації суб'єктами господарювання роздрібної торгівлі підакцизних товарів (пива, алкогольних напоїв, тютюнових виробів, тютюну та промислових замінників тютюну) та з урахуванням вимог діючого законодавства щодо спрямування частини акцизного податку з виробленого в Україні та ввезеного на митну територію України пального в розмірі 13,44 відсотка до бюджетів територіальних громад. </w:t>
      </w:r>
    </w:p>
    <w:p w:rsidR="001F5301" w:rsidRPr="00E5580C" w:rsidRDefault="00062F8D" w:rsidP="00FB5BBD">
      <w:pPr>
        <w:ind w:firstLine="851"/>
        <w:jc w:val="both"/>
        <w:rPr>
          <w:rFonts w:cs="Times New Roman"/>
          <w:szCs w:val="28"/>
        </w:rPr>
      </w:pPr>
      <w:r w:rsidRPr="00E5580C">
        <w:rPr>
          <w:rFonts w:cs="Times New Roman"/>
          <w:szCs w:val="28"/>
        </w:rPr>
        <w:t xml:space="preserve">При розрахунку плати за надання адміністративних послуг враховано,  що з 2022 року  до повноважень міської ради буде передано від райдержадміністрації  функції з питань надання адміністративних послуг. </w:t>
      </w:r>
    </w:p>
    <w:p w:rsidR="00620AC0" w:rsidRPr="00E5580C" w:rsidRDefault="00DF5047" w:rsidP="00957B07">
      <w:pPr>
        <w:spacing w:after="0" w:line="240" w:lineRule="auto"/>
        <w:rPr>
          <w:rFonts w:cs="Times New Roman"/>
          <w:b/>
          <w:szCs w:val="28"/>
        </w:rPr>
      </w:pPr>
      <w:r w:rsidRPr="00E5580C">
        <w:rPr>
          <w:rFonts w:cs="Times New Roman"/>
          <w:b/>
          <w:szCs w:val="28"/>
        </w:rPr>
        <w:t xml:space="preserve">          </w:t>
      </w:r>
      <w:r w:rsidR="001F5301" w:rsidRPr="00E5580C">
        <w:rPr>
          <w:rFonts w:cs="Times New Roman"/>
          <w:b/>
          <w:szCs w:val="28"/>
          <w:lang w:val="en-US"/>
        </w:rPr>
        <w:t>V</w:t>
      </w:r>
      <w:r w:rsidR="001F5301" w:rsidRPr="00E5580C">
        <w:rPr>
          <w:rFonts w:cs="Times New Roman"/>
          <w:b/>
          <w:szCs w:val="28"/>
        </w:rPr>
        <w:t>. Показники фінансування бюджету, показники місцевого боргу</w:t>
      </w:r>
    </w:p>
    <w:p w:rsidR="00957B07" w:rsidRPr="00E5580C" w:rsidRDefault="00AD5E96" w:rsidP="00957B07">
      <w:pPr>
        <w:spacing w:after="0" w:line="240" w:lineRule="auto"/>
        <w:jc w:val="both"/>
        <w:rPr>
          <w:rFonts w:cs="Times New Roman"/>
          <w:szCs w:val="28"/>
        </w:rPr>
      </w:pPr>
      <w:r w:rsidRPr="00E5580C">
        <w:rPr>
          <w:rFonts w:cs="Times New Roman"/>
          <w:b/>
          <w:szCs w:val="28"/>
        </w:rPr>
        <w:tab/>
      </w:r>
      <w:r w:rsidR="00311B2E" w:rsidRPr="00E5580C">
        <w:rPr>
          <w:rFonts w:cs="Times New Roman"/>
          <w:szCs w:val="28"/>
        </w:rPr>
        <w:t>Кошти, що передаються і загального фонду до бюджету розвитку (спеціального фонду) на 2022 рік – 20052</w:t>
      </w:r>
      <w:r w:rsidR="00636F76" w:rsidRPr="00E5580C">
        <w:rPr>
          <w:rFonts w:cs="Times New Roman"/>
          <w:szCs w:val="28"/>
        </w:rPr>
        <w:t>,</w:t>
      </w:r>
      <w:r w:rsidR="00311B2E" w:rsidRPr="00E5580C">
        <w:rPr>
          <w:rFonts w:cs="Times New Roman"/>
          <w:szCs w:val="28"/>
        </w:rPr>
        <w:t>2</w:t>
      </w:r>
      <w:r w:rsidR="00636F76" w:rsidRPr="00E5580C">
        <w:rPr>
          <w:rFonts w:cs="Times New Roman"/>
          <w:szCs w:val="28"/>
        </w:rPr>
        <w:t xml:space="preserve"> тис.</w:t>
      </w:r>
      <w:r w:rsidR="00311B2E" w:rsidRPr="00E5580C">
        <w:rPr>
          <w:rFonts w:cs="Times New Roman"/>
          <w:szCs w:val="28"/>
        </w:rPr>
        <w:t xml:space="preserve"> грн.,на 2023</w:t>
      </w:r>
      <w:r w:rsidR="00636F76" w:rsidRPr="00E5580C">
        <w:rPr>
          <w:rFonts w:cs="Times New Roman"/>
          <w:szCs w:val="28"/>
        </w:rPr>
        <w:t xml:space="preserve"> рік – 21114,9 тис.грн., на 2024 рік – 22170,7 тис.грн..</w:t>
      </w:r>
    </w:p>
    <w:p w:rsidR="00957B07" w:rsidRPr="00E5580C" w:rsidRDefault="00957B07" w:rsidP="00957B07">
      <w:pPr>
        <w:spacing w:after="0" w:line="240" w:lineRule="auto"/>
        <w:jc w:val="both"/>
        <w:rPr>
          <w:rFonts w:cs="Times New Roman"/>
          <w:szCs w:val="28"/>
        </w:rPr>
      </w:pPr>
      <w:r w:rsidRPr="00E5580C">
        <w:rPr>
          <w:rFonts w:cs="Times New Roman"/>
          <w:szCs w:val="28"/>
        </w:rPr>
        <w:t xml:space="preserve">        </w:t>
      </w:r>
      <w:r w:rsidR="00636F76" w:rsidRPr="00E5580C">
        <w:rPr>
          <w:rFonts w:cs="Times New Roman"/>
          <w:szCs w:val="28"/>
        </w:rPr>
        <w:t xml:space="preserve"> Погашення позики за одержаний кредит від Північної екологічної фінансової корпорації (НЕФКО)</w:t>
      </w:r>
      <w:r w:rsidRPr="00E5580C">
        <w:rPr>
          <w:rFonts w:cs="Times New Roman"/>
          <w:szCs w:val="28"/>
        </w:rPr>
        <w:t xml:space="preserve"> на фінансування видатків на заходи з енергоефективності системи вуличного освітлення в м.Золочів передбачається у 2022 році - в сумі 2121,5 тис.грн., у 2023-2024 роках в сумі по 2828,6 тис.грн. відповідно.</w:t>
      </w:r>
    </w:p>
    <w:p w:rsidR="00FD3FEB" w:rsidRPr="00E5580C" w:rsidRDefault="00957B07" w:rsidP="00957B07">
      <w:pPr>
        <w:spacing w:after="0" w:line="240" w:lineRule="auto"/>
        <w:jc w:val="both"/>
        <w:rPr>
          <w:rFonts w:cs="Times New Roman"/>
          <w:szCs w:val="28"/>
        </w:rPr>
      </w:pPr>
      <w:r w:rsidRPr="00E5580C">
        <w:rPr>
          <w:rFonts w:cs="Times New Roman"/>
          <w:szCs w:val="28"/>
        </w:rPr>
        <w:t xml:space="preserve">          Обсяг платежів з обслуговування зовнішнього місцевого боргу на 2022 рік прогнозується в сумі </w:t>
      </w:r>
      <w:r w:rsidR="001F437E" w:rsidRPr="00E5580C">
        <w:rPr>
          <w:rFonts w:cs="Times New Roman"/>
          <w:szCs w:val="28"/>
        </w:rPr>
        <w:t>284,4 тис.грн., на 2023 рік – 204,3 тис.грн., на 2024 рік – 118,6 тис.грн.(</w:t>
      </w:r>
      <w:r w:rsidR="00636F76" w:rsidRPr="00E5580C">
        <w:rPr>
          <w:rFonts w:cs="Times New Roman"/>
          <w:szCs w:val="28"/>
        </w:rPr>
        <w:t xml:space="preserve"> </w:t>
      </w:r>
      <w:r w:rsidR="00CC7594" w:rsidRPr="00E5580C">
        <w:rPr>
          <w:rFonts w:cs="Times New Roman"/>
          <w:szCs w:val="28"/>
        </w:rPr>
        <w:t>додат</w:t>
      </w:r>
      <w:r w:rsidR="00DF3060" w:rsidRPr="00E5580C">
        <w:rPr>
          <w:rFonts w:cs="Times New Roman"/>
          <w:szCs w:val="28"/>
        </w:rPr>
        <w:t>о</w:t>
      </w:r>
      <w:r w:rsidR="00CC7594" w:rsidRPr="00E5580C">
        <w:rPr>
          <w:rFonts w:cs="Times New Roman"/>
          <w:szCs w:val="28"/>
        </w:rPr>
        <w:t>к 3</w:t>
      </w:r>
      <w:r w:rsidR="0072318B" w:rsidRPr="00E5580C">
        <w:rPr>
          <w:rFonts w:cs="Times New Roman"/>
          <w:szCs w:val="28"/>
        </w:rPr>
        <w:t>,4,5</w:t>
      </w:r>
      <w:r w:rsidR="001F437E" w:rsidRPr="00E5580C">
        <w:rPr>
          <w:rFonts w:cs="Times New Roman"/>
          <w:szCs w:val="28"/>
        </w:rPr>
        <w:t>)</w:t>
      </w:r>
      <w:r w:rsidR="00CC7594" w:rsidRPr="00E5580C">
        <w:rPr>
          <w:rFonts w:cs="Times New Roman"/>
          <w:szCs w:val="28"/>
        </w:rPr>
        <w:t>.</w:t>
      </w:r>
    </w:p>
    <w:p w:rsidR="0072318B" w:rsidRPr="00E5580C" w:rsidRDefault="0072318B" w:rsidP="00957B07">
      <w:pPr>
        <w:spacing w:after="0" w:line="240" w:lineRule="auto"/>
        <w:jc w:val="both"/>
        <w:rPr>
          <w:rFonts w:cs="Times New Roman"/>
          <w:szCs w:val="28"/>
        </w:rPr>
      </w:pPr>
    </w:p>
    <w:p w:rsidR="00576734" w:rsidRPr="00E5580C" w:rsidRDefault="00E05C35" w:rsidP="00FB5BBD">
      <w:pPr>
        <w:jc w:val="center"/>
        <w:rPr>
          <w:rFonts w:cs="Times New Roman"/>
          <w:b/>
          <w:szCs w:val="28"/>
        </w:rPr>
      </w:pPr>
      <w:r w:rsidRPr="00E5580C">
        <w:rPr>
          <w:rFonts w:cs="Times New Roman"/>
          <w:b/>
          <w:szCs w:val="28"/>
        </w:rPr>
        <w:t xml:space="preserve">VІ. Показники видатків </w:t>
      </w:r>
      <w:r w:rsidR="00FB5BBD" w:rsidRPr="00E5580C">
        <w:rPr>
          <w:rFonts w:cs="Times New Roman"/>
          <w:b/>
          <w:szCs w:val="28"/>
        </w:rPr>
        <w:t xml:space="preserve">міського </w:t>
      </w:r>
      <w:r w:rsidRPr="00E5580C">
        <w:rPr>
          <w:rFonts w:cs="Times New Roman"/>
          <w:b/>
          <w:szCs w:val="28"/>
        </w:rPr>
        <w:t>бюджету та надання кредитів з бюджету</w:t>
      </w:r>
    </w:p>
    <w:p w:rsidR="001F437E" w:rsidRPr="00E5580C" w:rsidRDefault="001F437E" w:rsidP="004D0199">
      <w:pPr>
        <w:ind w:firstLine="708"/>
        <w:jc w:val="both"/>
        <w:rPr>
          <w:rFonts w:cs="Times New Roman"/>
          <w:szCs w:val="28"/>
        </w:rPr>
      </w:pPr>
      <w:r w:rsidRPr="00E5580C">
        <w:rPr>
          <w:rFonts w:cs="Times New Roman"/>
          <w:szCs w:val="28"/>
        </w:rPr>
        <w:t>Основним завданням бюджетної політики на місцевому рівні на 2022-2024 роки залишатиметься забезпечення стабільності, результативності, стійкості та збалансованості бюджету територіальної громади, ефективне використання бюджетних коштів в умовах обмеженості бюджетних ресурсів.</w:t>
      </w:r>
    </w:p>
    <w:p w:rsidR="001F437E" w:rsidRPr="00E5580C" w:rsidRDefault="001F437E" w:rsidP="004D0199">
      <w:pPr>
        <w:ind w:firstLine="708"/>
        <w:jc w:val="both"/>
        <w:rPr>
          <w:rFonts w:cs="Times New Roman"/>
          <w:szCs w:val="28"/>
        </w:rPr>
      </w:pPr>
      <w:r w:rsidRPr="00E5580C">
        <w:rPr>
          <w:rFonts w:cs="Times New Roman"/>
          <w:szCs w:val="28"/>
        </w:rPr>
        <w:t>Фінансування видатків бюджету Золочівської міської територіальної громади, міських цільових програм на період до 2024 року здійснюватиметься в рамках жорсткої економії бюджетних коштів</w:t>
      </w:r>
      <w:r w:rsidR="006840B9" w:rsidRPr="00E5580C">
        <w:rPr>
          <w:rFonts w:cs="Times New Roman"/>
          <w:szCs w:val="28"/>
        </w:rPr>
        <w:t>.</w:t>
      </w:r>
    </w:p>
    <w:p w:rsidR="004D0199" w:rsidRPr="00E5580C" w:rsidRDefault="004D0199" w:rsidP="004D0199">
      <w:pPr>
        <w:ind w:firstLine="708"/>
        <w:jc w:val="both"/>
        <w:rPr>
          <w:rFonts w:cs="Times New Roman"/>
          <w:szCs w:val="28"/>
        </w:rPr>
      </w:pPr>
      <w:r w:rsidRPr="00E5580C">
        <w:rPr>
          <w:rFonts w:cs="Times New Roman"/>
          <w:szCs w:val="28"/>
        </w:rPr>
        <w:t xml:space="preserve">Під час формування видаткової частини бюджету </w:t>
      </w:r>
      <w:r w:rsidR="006840B9" w:rsidRPr="00E5580C">
        <w:rPr>
          <w:rFonts w:cs="Times New Roman"/>
          <w:szCs w:val="28"/>
        </w:rPr>
        <w:t>Золочівської міської</w:t>
      </w:r>
      <w:r w:rsidRPr="00E5580C">
        <w:rPr>
          <w:rFonts w:cs="Times New Roman"/>
          <w:szCs w:val="28"/>
        </w:rPr>
        <w:t xml:space="preserve"> територіальної громади у середньостроковому періоді основним прагненням є досягнення цілей державної політики в межах ресурсних можливостей бюджету територіальної громади, спрямовування коштів на заходи відповідно до їх пріоритетності та актуальності, а також з урахуванням економного використання коштів за діючими бюджетними програмами. </w:t>
      </w:r>
    </w:p>
    <w:p w:rsidR="004D0199" w:rsidRPr="00E5580C" w:rsidRDefault="004D0199" w:rsidP="004D0199">
      <w:pPr>
        <w:ind w:firstLine="708"/>
        <w:jc w:val="both"/>
        <w:rPr>
          <w:rFonts w:cs="Times New Roman"/>
          <w:szCs w:val="28"/>
        </w:rPr>
      </w:pPr>
      <w:r w:rsidRPr="00E5580C">
        <w:rPr>
          <w:rFonts w:cs="Times New Roman"/>
          <w:szCs w:val="28"/>
        </w:rPr>
        <w:t xml:space="preserve">Прогнозні показники видатків та кредитування бюджету </w:t>
      </w:r>
      <w:r w:rsidR="006840B9" w:rsidRPr="00E5580C">
        <w:rPr>
          <w:rFonts w:cs="Times New Roman"/>
          <w:szCs w:val="28"/>
        </w:rPr>
        <w:t>Золочівської міської</w:t>
      </w:r>
      <w:r w:rsidRPr="00E5580C">
        <w:rPr>
          <w:rFonts w:cs="Times New Roman"/>
          <w:szCs w:val="28"/>
        </w:rPr>
        <w:t xml:space="preserve"> територіальної громади на 2022 – 2024 роки відображені на підставі поданих головними розпорядниками коштів пропозицій до Прогнозу, а саме:</w:t>
      </w:r>
    </w:p>
    <w:p w:rsidR="004D0199" w:rsidRPr="00E5580C" w:rsidRDefault="004D0199" w:rsidP="004D0199">
      <w:pPr>
        <w:ind w:firstLine="708"/>
        <w:jc w:val="both"/>
        <w:rPr>
          <w:rFonts w:cs="Times New Roman"/>
          <w:szCs w:val="28"/>
        </w:rPr>
      </w:pPr>
      <w:r w:rsidRPr="00E5580C">
        <w:rPr>
          <w:rFonts w:cs="Times New Roman"/>
          <w:szCs w:val="28"/>
        </w:rPr>
        <w:t xml:space="preserve"> граничні показники видатків бюджету та надання кредитів з бюджету головним розпорядникам коштів – додаток 6;</w:t>
      </w:r>
    </w:p>
    <w:p w:rsidR="004D0199" w:rsidRPr="00E5580C" w:rsidRDefault="004D0199" w:rsidP="004D0199">
      <w:pPr>
        <w:ind w:firstLine="708"/>
        <w:jc w:val="both"/>
        <w:rPr>
          <w:rFonts w:cs="Times New Roman"/>
          <w:szCs w:val="28"/>
        </w:rPr>
      </w:pPr>
      <w:r w:rsidRPr="00E5580C">
        <w:rPr>
          <w:rFonts w:cs="Times New Roman"/>
          <w:szCs w:val="28"/>
        </w:rPr>
        <w:t xml:space="preserve"> граничні показники видатків бюджету за Типовою програмною класифікацією видатків та кредитування місцевого бюджету – додаток 7.</w:t>
      </w:r>
    </w:p>
    <w:p w:rsidR="00DF3060" w:rsidRPr="00E5580C" w:rsidRDefault="004D0199" w:rsidP="0072318B">
      <w:pPr>
        <w:ind w:firstLine="708"/>
        <w:jc w:val="both"/>
        <w:rPr>
          <w:rFonts w:cs="Times New Roman"/>
          <w:szCs w:val="28"/>
        </w:rPr>
      </w:pPr>
      <w:r w:rsidRPr="00E5580C">
        <w:rPr>
          <w:rFonts w:cs="Times New Roman"/>
          <w:szCs w:val="28"/>
        </w:rPr>
        <w:t>В процесі формування видаткової частини бюджету враховані прогнозні розміри мінімальної заробітної плати та посадового окладу працівника першого тарифного розряду Єдиної тарифної сітки на 2022-2024 роки відповідно до Бюджетної декларації, прийнятої Верховною Радою України 15 липня 2021 року</w:t>
      </w:r>
      <w:r w:rsidR="00BF2255" w:rsidRPr="00E5580C">
        <w:rPr>
          <w:rFonts w:cs="Times New Roman"/>
          <w:szCs w:val="28"/>
        </w:rPr>
        <w:t>.</w:t>
      </w:r>
      <w:r w:rsidRPr="00E5580C">
        <w:rPr>
          <w:rFonts w:cs="Times New Roman"/>
          <w:szCs w:val="28"/>
        </w:rPr>
        <w:t xml:space="preserve"> </w:t>
      </w:r>
    </w:p>
    <w:p w:rsidR="004D0199" w:rsidRPr="00E5580C" w:rsidRDefault="004D0199" w:rsidP="004D0199">
      <w:pPr>
        <w:ind w:firstLine="708"/>
        <w:jc w:val="both"/>
        <w:rPr>
          <w:rFonts w:cs="Times New Roman"/>
          <w:szCs w:val="28"/>
        </w:rPr>
      </w:pPr>
      <w:r w:rsidRPr="00E5580C">
        <w:rPr>
          <w:rFonts w:cs="Times New Roman"/>
          <w:szCs w:val="28"/>
        </w:rPr>
        <w:t xml:space="preserve">В першу чергу при формуванні видаткової частини прогнозу бюджету враховано вимоги статті 77 Бюджетного кодексу України щодо забезпечення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w:t>
      </w:r>
      <w:r w:rsidR="00DF588C" w:rsidRPr="00E5580C">
        <w:rPr>
          <w:rFonts w:cs="Times New Roman"/>
          <w:szCs w:val="28"/>
        </w:rPr>
        <w:t xml:space="preserve">комунальними </w:t>
      </w:r>
      <w:r w:rsidRPr="00E5580C">
        <w:rPr>
          <w:rFonts w:cs="Times New Roman"/>
          <w:szCs w:val="28"/>
        </w:rPr>
        <w:t xml:space="preserve">некомерційними підприємствами охорони здоров’я. </w:t>
      </w:r>
    </w:p>
    <w:p w:rsidR="0072318B" w:rsidRPr="00E5580C" w:rsidRDefault="004D0199" w:rsidP="00FB5BBD">
      <w:pPr>
        <w:ind w:firstLine="708"/>
        <w:jc w:val="both"/>
        <w:rPr>
          <w:rFonts w:cs="Times New Roman"/>
          <w:szCs w:val="28"/>
        </w:rPr>
      </w:pPr>
      <w:r w:rsidRPr="00E5580C">
        <w:rPr>
          <w:rFonts w:cs="Times New Roman"/>
          <w:szCs w:val="28"/>
        </w:rPr>
        <w:t xml:space="preserve">Враховані також обсяги видатків, необхідні для забезпечення стабільної роботи установ та закладів соціально – культурної сфери, надання соціальних гарантій для </w:t>
      </w:r>
      <w:r w:rsidR="006840B9" w:rsidRPr="00E5580C">
        <w:rPr>
          <w:rFonts w:cs="Times New Roman"/>
          <w:szCs w:val="28"/>
        </w:rPr>
        <w:t>вразливих</w:t>
      </w:r>
      <w:r w:rsidRPr="00E5580C">
        <w:rPr>
          <w:rFonts w:cs="Times New Roman"/>
          <w:szCs w:val="28"/>
        </w:rPr>
        <w:t xml:space="preserve"> категорій громадян, підтримки в належному стані об’єктів житлово – комунального господарства, інших об’єктів інфраструктури </w:t>
      </w:r>
      <w:r w:rsidR="00C877CF" w:rsidRPr="00E5580C">
        <w:rPr>
          <w:rFonts w:cs="Times New Roman"/>
          <w:szCs w:val="28"/>
        </w:rPr>
        <w:t>громади</w:t>
      </w:r>
      <w:r w:rsidRPr="00E5580C">
        <w:rPr>
          <w:rFonts w:cs="Times New Roman"/>
          <w:szCs w:val="28"/>
        </w:rPr>
        <w:t xml:space="preserve">, впровадження заходів з енергозбереження (енергоефективності), виконання в межах фінансових можливостей </w:t>
      </w:r>
      <w:r w:rsidR="006840B9" w:rsidRPr="00E5580C">
        <w:rPr>
          <w:rFonts w:cs="Times New Roman"/>
          <w:szCs w:val="28"/>
        </w:rPr>
        <w:t>міських</w:t>
      </w:r>
      <w:r w:rsidRPr="00E5580C">
        <w:rPr>
          <w:rFonts w:cs="Times New Roman"/>
          <w:szCs w:val="28"/>
        </w:rPr>
        <w:t xml:space="preserve"> </w:t>
      </w:r>
      <w:r w:rsidR="00077184" w:rsidRPr="00E5580C">
        <w:rPr>
          <w:rFonts w:cs="Times New Roman"/>
          <w:szCs w:val="28"/>
        </w:rPr>
        <w:t xml:space="preserve">цільових (комплексних) програм </w:t>
      </w:r>
      <w:r w:rsidR="00FB5BBD" w:rsidRPr="00E5580C">
        <w:rPr>
          <w:rFonts w:cs="Times New Roman"/>
          <w:szCs w:val="28"/>
        </w:rPr>
        <w:t>.</w:t>
      </w:r>
    </w:p>
    <w:p w:rsidR="004D0199" w:rsidRPr="00E5580C" w:rsidRDefault="004D0199" w:rsidP="004D0199">
      <w:pPr>
        <w:ind w:firstLine="708"/>
        <w:jc w:val="center"/>
        <w:rPr>
          <w:rFonts w:cs="Times New Roman"/>
          <w:b/>
          <w:szCs w:val="28"/>
        </w:rPr>
      </w:pPr>
      <w:r w:rsidRPr="00E5580C">
        <w:rPr>
          <w:rFonts w:cs="Times New Roman"/>
          <w:b/>
          <w:szCs w:val="28"/>
        </w:rPr>
        <w:t>Державне управління</w:t>
      </w:r>
    </w:p>
    <w:p w:rsidR="00D55F0D" w:rsidRPr="00E5580C" w:rsidRDefault="00D55F0D" w:rsidP="00D55F0D">
      <w:pPr>
        <w:spacing w:after="0" w:line="240" w:lineRule="auto"/>
        <w:ind w:firstLine="708"/>
        <w:jc w:val="both"/>
        <w:rPr>
          <w:rFonts w:cs="Times New Roman"/>
          <w:szCs w:val="28"/>
        </w:rPr>
      </w:pPr>
      <w:r w:rsidRPr="00E5580C">
        <w:rPr>
          <w:rFonts w:cs="Times New Roman"/>
          <w:szCs w:val="28"/>
        </w:rPr>
        <w:t>У галузі державного управління пріоритетним завданням є надання виконавчими органами Золочівської міської ради високоякісних і доступних адміністративних, соціальних та інших послуг населенню, створення належних матеріальних, фінансових та організаційних умов для забезпечення здійснення власних та делегованих повноважень, визначених Конституцією України, Законом України «Про місцеве самоврядування в Україні» та іншими законами України.</w:t>
      </w:r>
    </w:p>
    <w:p w:rsidR="00D55F0D" w:rsidRPr="00E5580C" w:rsidRDefault="00D55F0D" w:rsidP="00D55F0D">
      <w:pPr>
        <w:spacing w:after="0" w:line="240" w:lineRule="auto"/>
        <w:ind w:firstLine="708"/>
        <w:jc w:val="both"/>
        <w:rPr>
          <w:rFonts w:cs="Times New Roman"/>
          <w:szCs w:val="28"/>
        </w:rPr>
      </w:pPr>
      <w:r w:rsidRPr="00E5580C">
        <w:rPr>
          <w:rFonts w:cs="Times New Roman"/>
          <w:szCs w:val="28"/>
        </w:rPr>
        <w:t>У 2022-2024 роках передбачається здійснити такі заходи:</w:t>
      </w:r>
    </w:p>
    <w:p w:rsidR="00D55F0D" w:rsidRPr="00E5580C" w:rsidRDefault="00D55F0D" w:rsidP="00D55F0D">
      <w:pPr>
        <w:spacing w:after="0" w:line="240" w:lineRule="auto"/>
        <w:ind w:firstLine="708"/>
        <w:jc w:val="both"/>
        <w:rPr>
          <w:rFonts w:cs="Times New Roman"/>
          <w:szCs w:val="28"/>
        </w:rPr>
      </w:pPr>
      <w:r w:rsidRPr="00E5580C">
        <w:rPr>
          <w:rFonts w:cs="Times New Roman"/>
          <w:szCs w:val="28"/>
        </w:rPr>
        <w:t>-       забезпечення принципу прозорості у діяльності виконавчих органів міської ради;</w:t>
      </w:r>
    </w:p>
    <w:p w:rsidR="00D55F0D" w:rsidRPr="00E5580C" w:rsidRDefault="00D55F0D" w:rsidP="00D55F0D">
      <w:pPr>
        <w:spacing w:after="0" w:line="240" w:lineRule="auto"/>
        <w:ind w:firstLine="708"/>
        <w:jc w:val="both"/>
        <w:rPr>
          <w:rFonts w:cs="Times New Roman"/>
          <w:szCs w:val="28"/>
        </w:rPr>
      </w:pPr>
      <w:r w:rsidRPr="00E5580C">
        <w:rPr>
          <w:rFonts w:cs="Times New Roman"/>
          <w:szCs w:val="28"/>
        </w:rPr>
        <w:t>-       впровадження      інформаційних      технологій       та       електронного документообігу;</w:t>
      </w:r>
    </w:p>
    <w:p w:rsidR="00D55F0D" w:rsidRPr="00E5580C" w:rsidRDefault="00D55F0D" w:rsidP="00D55F0D">
      <w:pPr>
        <w:spacing w:after="0" w:line="240" w:lineRule="auto"/>
        <w:ind w:firstLine="708"/>
        <w:jc w:val="both"/>
        <w:rPr>
          <w:rFonts w:cs="Times New Roman"/>
          <w:szCs w:val="28"/>
        </w:rPr>
      </w:pPr>
      <w:r w:rsidRPr="00E5580C">
        <w:rPr>
          <w:rFonts w:cs="Times New Roman"/>
          <w:szCs w:val="28"/>
        </w:rPr>
        <w:t>-       створення центру надання адміністративних послуг</w:t>
      </w:r>
    </w:p>
    <w:p w:rsidR="00AD31FC" w:rsidRPr="00E5580C" w:rsidRDefault="00D55F0D" w:rsidP="00FB5BBD">
      <w:pPr>
        <w:spacing w:after="0" w:line="240" w:lineRule="auto"/>
        <w:ind w:firstLine="708"/>
        <w:jc w:val="both"/>
        <w:rPr>
          <w:rFonts w:cs="Times New Roman"/>
          <w:szCs w:val="28"/>
        </w:rPr>
      </w:pPr>
      <w:r w:rsidRPr="00E5580C">
        <w:rPr>
          <w:rFonts w:cs="Times New Roman"/>
          <w:szCs w:val="28"/>
        </w:rPr>
        <w:t>-      реалізація   проєкту    громадського     бюджету     Золочівської міської територіальної громади, направленого на залучення мешканців громади до участі у бюджетному процесі.</w:t>
      </w:r>
    </w:p>
    <w:p w:rsidR="004D0199" w:rsidRPr="00E5580C" w:rsidRDefault="004D0199" w:rsidP="004D0199">
      <w:pPr>
        <w:ind w:firstLine="708"/>
        <w:jc w:val="center"/>
        <w:rPr>
          <w:rFonts w:cs="Times New Roman"/>
          <w:b/>
          <w:szCs w:val="28"/>
        </w:rPr>
      </w:pPr>
      <w:r w:rsidRPr="00E5580C">
        <w:rPr>
          <w:rFonts w:cs="Times New Roman"/>
          <w:b/>
          <w:szCs w:val="28"/>
        </w:rPr>
        <w:t>Освіта</w:t>
      </w:r>
    </w:p>
    <w:p w:rsidR="004D0199" w:rsidRPr="00E5580C" w:rsidRDefault="004D0199" w:rsidP="004D0199">
      <w:pPr>
        <w:ind w:firstLine="708"/>
        <w:jc w:val="both"/>
        <w:rPr>
          <w:rFonts w:cs="Times New Roman"/>
          <w:szCs w:val="28"/>
        </w:rPr>
      </w:pPr>
      <w:r w:rsidRPr="00E5580C">
        <w:rPr>
          <w:rFonts w:cs="Times New Roman"/>
          <w:szCs w:val="28"/>
        </w:rPr>
        <w:t xml:space="preserve"> Цілі державної політики у сфері освіти реалізуються головним розпорядником бюджетних коштів – </w:t>
      </w:r>
      <w:r w:rsidR="00DF588C" w:rsidRPr="00E5580C">
        <w:rPr>
          <w:rFonts w:cs="Times New Roman"/>
          <w:szCs w:val="28"/>
        </w:rPr>
        <w:t>В</w:t>
      </w:r>
      <w:r w:rsidRPr="00E5580C">
        <w:rPr>
          <w:rFonts w:cs="Times New Roman"/>
          <w:szCs w:val="28"/>
        </w:rPr>
        <w:t xml:space="preserve">ідділом </w:t>
      </w:r>
      <w:r w:rsidR="00BF7FB2" w:rsidRPr="00E5580C">
        <w:rPr>
          <w:rFonts w:cs="Times New Roman"/>
          <w:szCs w:val="28"/>
        </w:rPr>
        <w:t xml:space="preserve">з питань </w:t>
      </w:r>
      <w:r w:rsidRPr="00E5580C">
        <w:rPr>
          <w:rFonts w:cs="Times New Roman"/>
          <w:szCs w:val="28"/>
        </w:rPr>
        <w:t>освіти</w:t>
      </w:r>
      <w:r w:rsidR="00BF7FB2" w:rsidRPr="00E5580C">
        <w:rPr>
          <w:rFonts w:cs="Times New Roman"/>
          <w:szCs w:val="28"/>
        </w:rPr>
        <w:t>, молоді і спорту</w:t>
      </w:r>
      <w:r w:rsidRPr="00E5580C">
        <w:rPr>
          <w:rFonts w:cs="Times New Roman"/>
          <w:szCs w:val="28"/>
        </w:rPr>
        <w:t xml:space="preserve"> </w:t>
      </w:r>
      <w:r w:rsidR="00BF7FB2" w:rsidRPr="00E5580C">
        <w:rPr>
          <w:rFonts w:cs="Times New Roman"/>
          <w:szCs w:val="28"/>
        </w:rPr>
        <w:t>Золочівської міської</w:t>
      </w:r>
      <w:r w:rsidR="00DF588C" w:rsidRPr="00E5580C">
        <w:rPr>
          <w:rFonts w:cs="Times New Roman"/>
          <w:szCs w:val="28"/>
        </w:rPr>
        <w:t xml:space="preserve"> ради</w:t>
      </w:r>
      <w:r w:rsidRPr="00E5580C">
        <w:rPr>
          <w:rFonts w:cs="Times New Roman"/>
          <w:szCs w:val="28"/>
        </w:rPr>
        <w:t xml:space="preserve"> та у середньостроковій перспективі будуть направлені на: </w:t>
      </w:r>
    </w:p>
    <w:p w:rsidR="004D0199" w:rsidRPr="00E5580C" w:rsidRDefault="004D0199" w:rsidP="002933FB">
      <w:pPr>
        <w:spacing w:after="100" w:afterAutospacing="1" w:line="240" w:lineRule="auto"/>
        <w:ind w:firstLine="708"/>
        <w:contextualSpacing/>
        <w:jc w:val="both"/>
        <w:rPr>
          <w:rFonts w:cs="Times New Roman"/>
          <w:szCs w:val="28"/>
        </w:rPr>
      </w:pPr>
      <w:r w:rsidRPr="00E5580C">
        <w:rPr>
          <w:rFonts w:cs="Times New Roman"/>
          <w:szCs w:val="28"/>
        </w:rPr>
        <w:t xml:space="preserve">зміцнення матеріально-технічної бази дошкільних навчальних закладів, </w:t>
      </w:r>
    </w:p>
    <w:p w:rsidR="004D0199" w:rsidRPr="00E5580C" w:rsidRDefault="004D0199" w:rsidP="002933FB">
      <w:pPr>
        <w:spacing w:after="100" w:afterAutospacing="1" w:line="240" w:lineRule="auto"/>
        <w:contextualSpacing/>
        <w:jc w:val="both"/>
        <w:rPr>
          <w:rFonts w:cs="Times New Roman"/>
          <w:szCs w:val="28"/>
        </w:rPr>
      </w:pPr>
      <w:r w:rsidRPr="00E5580C">
        <w:rPr>
          <w:rFonts w:cs="Times New Roman"/>
          <w:szCs w:val="28"/>
        </w:rPr>
        <w:t xml:space="preserve">          забезпечення закладів загальної середньої освіти сучасним навчальним обладнанням та оновлення матеріально-технічної бази; </w:t>
      </w:r>
    </w:p>
    <w:p w:rsidR="00C877CF" w:rsidRPr="00E5580C" w:rsidRDefault="00C877CF" w:rsidP="002933FB">
      <w:pPr>
        <w:spacing w:after="100" w:afterAutospacing="1" w:line="240" w:lineRule="auto"/>
        <w:ind w:firstLine="708"/>
        <w:contextualSpacing/>
        <w:jc w:val="both"/>
        <w:rPr>
          <w:rFonts w:cs="Times New Roman"/>
          <w:szCs w:val="28"/>
        </w:rPr>
      </w:pPr>
      <w:r w:rsidRPr="00E5580C">
        <w:rPr>
          <w:rFonts w:cs="Times New Roman"/>
          <w:szCs w:val="28"/>
        </w:rPr>
        <w:t>забезпечення державних гарантій з оплати праці працівникам бюджетних установ;</w:t>
      </w:r>
    </w:p>
    <w:p w:rsidR="004D0199" w:rsidRPr="00E5580C" w:rsidRDefault="004D0199" w:rsidP="002933FB">
      <w:pPr>
        <w:spacing w:after="100" w:afterAutospacing="1" w:line="240" w:lineRule="auto"/>
        <w:ind w:firstLine="708"/>
        <w:contextualSpacing/>
        <w:jc w:val="both"/>
        <w:rPr>
          <w:rFonts w:cs="Times New Roman"/>
          <w:szCs w:val="28"/>
        </w:rPr>
      </w:pPr>
      <w:r w:rsidRPr="00E5580C">
        <w:rPr>
          <w:rFonts w:cs="Times New Roman"/>
          <w:szCs w:val="28"/>
        </w:rPr>
        <w:t>організація оздоровлення учнів загальноосвітніх шкіл;</w:t>
      </w:r>
    </w:p>
    <w:p w:rsidR="004D0199" w:rsidRPr="00E5580C" w:rsidRDefault="004D0199" w:rsidP="002933FB">
      <w:pPr>
        <w:spacing w:after="100" w:afterAutospacing="1" w:line="240" w:lineRule="auto"/>
        <w:ind w:firstLine="708"/>
        <w:contextualSpacing/>
        <w:jc w:val="both"/>
        <w:rPr>
          <w:rFonts w:cs="Times New Roman"/>
          <w:szCs w:val="28"/>
        </w:rPr>
      </w:pPr>
      <w:r w:rsidRPr="00E5580C">
        <w:rPr>
          <w:rFonts w:cs="Times New Roman"/>
          <w:szCs w:val="28"/>
        </w:rPr>
        <w:t xml:space="preserve">організація харчування та придбання медикаментів. </w:t>
      </w:r>
    </w:p>
    <w:p w:rsidR="004D0199" w:rsidRPr="00E5580C" w:rsidRDefault="00DF588C" w:rsidP="002933FB">
      <w:pPr>
        <w:spacing w:after="100" w:afterAutospacing="1" w:line="240" w:lineRule="auto"/>
        <w:ind w:firstLine="708"/>
        <w:contextualSpacing/>
        <w:jc w:val="both"/>
        <w:rPr>
          <w:rFonts w:cs="Times New Roman"/>
          <w:szCs w:val="28"/>
        </w:rPr>
      </w:pPr>
      <w:r w:rsidRPr="00E5580C">
        <w:rPr>
          <w:rFonts w:cs="Times New Roman"/>
          <w:szCs w:val="28"/>
        </w:rPr>
        <w:t>п</w:t>
      </w:r>
      <w:r w:rsidR="004D0199" w:rsidRPr="00E5580C">
        <w:rPr>
          <w:rFonts w:cs="Times New Roman"/>
          <w:szCs w:val="28"/>
        </w:rPr>
        <w:t>обудова освітньої мережі у відповідності до наявних ресурсів.</w:t>
      </w:r>
    </w:p>
    <w:p w:rsidR="004D0199" w:rsidRPr="00E5580C" w:rsidRDefault="004D0199" w:rsidP="002933FB">
      <w:pPr>
        <w:spacing w:after="100" w:afterAutospacing="1" w:line="240" w:lineRule="auto"/>
        <w:ind w:firstLine="708"/>
        <w:contextualSpacing/>
        <w:jc w:val="both"/>
        <w:rPr>
          <w:rFonts w:cs="Times New Roman"/>
          <w:szCs w:val="28"/>
        </w:rPr>
      </w:pPr>
      <w:r w:rsidRPr="00E5580C">
        <w:rPr>
          <w:rFonts w:cs="Times New Roman"/>
          <w:szCs w:val="28"/>
        </w:rPr>
        <w:t xml:space="preserve">Основні результати, яких планується досягти: </w:t>
      </w:r>
    </w:p>
    <w:p w:rsidR="004D0199" w:rsidRPr="00E5580C" w:rsidRDefault="004D0199" w:rsidP="002933FB">
      <w:pPr>
        <w:spacing w:after="100" w:afterAutospacing="1" w:line="240" w:lineRule="auto"/>
        <w:ind w:firstLine="708"/>
        <w:contextualSpacing/>
        <w:jc w:val="both"/>
        <w:rPr>
          <w:rFonts w:cs="Times New Roman"/>
          <w:szCs w:val="28"/>
        </w:rPr>
      </w:pPr>
      <w:r w:rsidRPr="00E5580C">
        <w:rPr>
          <w:rFonts w:cs="Times New Roman"/>
          <w:szCs w:val="28"/>
        </w:rPr>
        <w:t xml:space="preserve">створення нового освітнього середовища, яке відповідає вимогам сьогодення; </w:t>
      </w:r>
    </w:p>
    <w:p w:rsidR="004D0199" w:rsidRPr="00E5580C" w:rsidRDefault="004D0199" w:rsidP="002933FB">
      <w:pPr>
        <w:spacing w:after="100" w:afterAutospacing="1" w:line="240" w:lineRule="auto"/>
        <w:ind w:firstLine="708"/>
        <w:contextualSpacing/>
        <w:jc w:val="both"/>
        <w:rPr>
          <w:rFonts w:cs="Times New Roman"/>
          <w:szCs w:val="28"/>
        </w:rPr>
      </w:pPr>
      <w:r w:rsidRPr="00E5580C">
        <w:rPr>
          <w:rFonts w:cs="Times New Roman"/>
          <w:szCs w:val="28"/>
        </w:rPr>
        <w:t xml:space="preserve">забезпечення доступної дошкільної, загальної середньої та позашкільної освіти з урахуванням демографічних та економічних реалій; </w:t>
      </w:r>
    </w:p>
    <w:p w:rsidR="004D0199" w:rsidRPr="00E5580C" w:rsidRDefault="004D0199" w:rsidP="002933FB">
      <w:pPr>
        <w:spacing w:after="100" w:afterAutospacing="1" w:line="240" w:lineRule="auto"/>
        <w:ind w:firstLine="708"/>
        <w:contextualSpacing/>
        <w:jc w:val="both"/>
        <w:rPr>
          <w:rFonts w:cs="Times New Roman"/>
          <w:szCs w:val="28"/>
        </w:rPr>
      </w:pPr>
      <w:r w:rsidRPr="00E5580C">
        <w:rPr>
          <w:rFonts w:cs="Times New Roman"/>
          <w:szCs w:val="28"/>
        </w:rPr>
        <w:t xml:space="preserve">сприяння підвищенню мотивації учнів до навчання, а вчителів - до професійного розвитку; </w:t>
      </w:r>
    </w:p>
    <w:p w:rsidR="00501D40" w:rsidRPr="00E5580C" w:rsidRDefault="00501D40" w:rsidP="00501D40">
      <w:pPr>
        <w:ind w:firstLine="708"/>
        <w:jc w:val="center"/>
        <w:rPr>
          <w:rFonts w:cs="Times New Roman"/>
          <w:b/>
          <w:szCs w:val="28"/>
        </w:rPr>
      </w:pPr>
      <w:r w:rsidRPr="00E5580C">
        <w:rPr>
          <w:rFonts w:cs="Times New Roman"/>
          <w:b/>
          <w:szCs w:val="28"/>
        </w:rPr>
        <w:t>Охорона здоров’я</w:t>
      </w:r>
    </w:p>
    <w:p w:rsidR="00501D40" w:rsidRPr="00E5580C" w:rsidRDefault="00501D40" w:rsidP="00501D40">
      <w:pPr>
        <w:ind w:firstLine="708"/>
        <w:jc w:val="both"/>
        <w:rPr>
          <w:rFonts w:cs="Times New Roman"/>
          <w:szCs w:val="28"/>
        </w:rPr>
      </w:pPr>
      <w:r w:rsidRPr="00E5580C">
        <w:rPr>
          <w:rFonts w:cs="Times New Roman"/>
          <w:szCs w:val="28"/>
        </w:rPr>
        <w:t xml:space="preserve">Цілі державної політики у сфері охорони здоров’я направлені на перехід від утримання мережі комунальних закладів охорони здоров’я (ліжок, персоналу) до оплати реальних результатів діяльності цих закладів – фактично наданих пацієнтам медичних послуг. Головним розпорядником бюджетних коштів є </w:t>
      </w:r>
      <w:r w:rsidR="00BF7FB2" w:rsidRPr="00E5580C">
        <w:rPr>
          <w:rFonts w:cs="Times New Roman"/>
          <w:szCs w:val="28"/>
        </w:rPr>
        <w:t xml:space="preserve">Золочівська міська </w:t>
      </w:r>
      <w:r w:rsidRPr="00E5580C">
        <w:rPr>
          <w:rFonts w:cs="Times New Roman"/>
          <w:szCs w:val="28"/>
        </w:rPr>
        <w:t xml:space="preserve"> рада. </w:t>
      </w:r>
    </w:p>
    <w:p w:rsidR="00501D40" w:rsidRPr="00E5580C" w:rsidRDefault="00501D40" w:rsidP="00263EA2">
      <w:pPr>
        <w:spacing w:line="240" w:lineRule="auto"/>
        <w:ind w:firstLine="709"/>
        <w:contextualSpacing/>
        <w:jc w:val="both"/>
        <w:rPr>
          <w:rFonts w:cs="Times New Roman"/>
          <w:szCs w:val="28"/>
        </w:rPr>
      </w:pPr>
      <w:r w:rsidRPr="00E5580C">
        <w:rPr>
          <w:rFonts w:cs="Times New Roman"/>
          <w:szCs w:val="28"/>
        </w:rPr>
        <w:t xml:space="preserve">Основні результати, яких планується досягти: </w:t>
      </w:r>
    </w:p>
    <w:p w:rsidR="00501D40" w:rsidRPr="00E5580C" w:rsidRDefault="00501D40" w:rsidP="00263EA2">
      <w:pPr>
        <w:spacing w:line="240" w:lineRule="auto"/>
        <w:ind w:firstLine="709"/>
        <w:contextualSpacing/>
        <w:jc w:val="both"/>
        <w:rPr>
          <w:rFonts w:cs="Times New Roman"/>
          <w:szCs w:val="28"/>
        </w:rPr>
      </w:pPr>
      <w:r w:rsidRPr="00E5580C">
        <w:rPr>
          <w:rFonts w:cs="Times New Roman"/>
          <w:szCs w:val="28"/>
        </w:rPr>
        <w:t xml:space="preserve">підвищення рівня медичного обслуговування населення; </w:t>
      </w:r>
    </w:p>
    <w:p w:rsidR="00501D40" w:rsidRPr="00E5580C" w:rsidRDefault="00501D40" w:rsidP="00263EA2">
      <w:pPr>
        <w:spacing w:line="240" w:lineRule="auto"/>
        <w:ind w:firstLine="709"/>
        <w:contextualSpacing/>
        <w:jc w:val="both"/>
        <w:rPr>
          <w:rFonts w:cs="Times New Roman"/>
          <w:szCs w:val="28"/>
        </w:rPr>
      </w:pPr>
      <w:r w:rsidRPr="00E5580C">
        <w:rPr>
          <w:rFonts w:cs="Times New Roman"/>
          <w:szCs w:val="28"/>
        </w:rPr>
        <w:t xml:space="preserve">запровадження нових підходів до організації роботи закладів охорони здоров’я та їх фінансового забезпечення; </w:t>
      </w:r>
    </w:p>
    <w:p w:rsidR="00501D40" w:rsidRPr="00E5580C" w:rsidRDefault="00501D40" w:rsidP="00263EA2">
      <w:pPr>
        <w:spacing w:line="240" w:lineRule="auto"/>
        <w:ind w:firstLine="709"/>
        <w:contextualSpacing/>
        <w:jc w:val="both"/>
        <w:rPr>
          <w:rFonts w:cs="Times New Roman"/>
          <w:szCs w:val="28"/>
        </w:rPr>
      </w:pPr>
      <w:r w:rsidRPr="00E5580C">
        <w:rPr>
          <w:rFonts w:cs="Times New Roman"/>
          <w:szCs w:val="28"/>
        </w:rPr>
        <w:t xml:space="preserve">подальший розвиток системи медичного обслуговування населення та реформування системи охорони здоров’я; </w:t>
      </w:r>
    </w:p>
    <w:p w:rsidR="00263EA2" w:rsidRPr="00E5580C" w:rsidRDefault="00501D40" w:rsidP="00FB5BBD">
      <w:pPr>
        <w:spacing w:line="240" w:lineRule="auto"/>
        <w:ind w:firstLine="709"/>
        <w:contextualSpacing/>
        <w:jc w:val="both"/>
        <w:rPr>
          <w:rFonts w:cs="Times New Roman"/>
          <w:szCs w:val="28"/>
        </w:rPr>
      </w:pPr>
      <w:r w:rsidRPr="00E5580C">
        <w:rPr>
          <w:rFonts w:cs="Times New Roman"/>
          <w:szCs w:val="28"/>
        </w:rPr>
        <w:t xml:space="preserve">зниження рівнів загальної захворюваності населення. </w:t>
      </w:r>
    </w:p>
    <w:p w:rsidR="004D0199" w:rsidRPr="00E5580C" w:rsidRDefault="004D0199" w:rsidP="004D0199">
      <w:pPr>
        <w:ind w:firstLine="708"/>
        <w:jc w:val="center"/>
        <w:rPr>
          <w:rFonts w:cs="Times New Roman"/>
          <w:b/>
          <w:szCs w:val="28"/>
        </w:rPr>
      </w:pPr>
      <w:r w:rsidRPr="00E5580C">
        <w:rPr>
          <w:rFonts w:cs="Times New Roman"/>
          <w:b/>
          <w:szCs w:val="28"/>
        </w:rPr>
        <w:t>Соціальний захист та соціальне забезпечення</w:t>
      </w:r>
    </w:p>
    <w:p w:rsidR="004D0199" w:rsidRPr="00E5580C" w:rsidRDefault="004D0199" w:rsidP="004D0199">
      <w:pPr>
        <w:ind w:firstLine="708"/>
        <w:jc w:val="both"/>
        <w:rPr>
          <w:rFonts w:cs="Times New Roman"/>
          <w:szCs w:val="28"/>
        </w:rPr>
      </w:pPr>
      <w:r w:rsidRPr="00E5580C">
        <w:rPr>
          <w:rFonts w:cs="Times New Roman"/>
          <w:szCs w:val="28"/>
        </w:rPr>
        <w:t xml:space="preserve">Основними цілями реалізації державної політики у сфері соціального захисту та соціального забезпечення на 2022-2024 роки є підвищення ефективності управління бюджетними коштами на підтримку соціально вразливих верств населення, подальше реформування сфери надання соціальних послуг та соціального захисту. </w:t>
      </w:r>
    </w:p>
    <w:p w:rsidR="004D0199" w:rsidRPr="00E5580C" w:rsidRDefault="004D0199" w:rsidP="00EE3160">
      <w:pPr>
        <w:ind w:firstLine="708"/>
        <w:jc w:val="both"/>
        <w:rPr>
          <w:rFonts w:cs="Times New Roman"/>
          <w:szCs w:val="28"/>
        </w:rPr>
      </w:pPr>
      <w:r w:rsidRPr="00E5580C">
        <w:rPr>
          <w:rFonts w:cs="Times New Roman"/>
          <w:szCs w:val="28"/>
        </w:rPr>
        <w:t xml:space="preserve">Прогнозні граничні показники бюджету </w:t>
      </w:r>
      <w:r w:rsidR="00EE3160" w:rsidRPr="00E5580C">
        <w:rPr>
          <w:rFonts w:cs="Times New Roman"/>
          <w:szCs w:val="28"/>
        </w:rPr>
        <w:t>Золочівської міської</w:t>
      </w:r>
      <w:r w:rsidRPr="00E5580C">
        <w:rPr>
          <w:rFonts w:cs="Times New Roman"/>
          <w:szCs w:val="28"/>
        </w:rPr>
        <w:t xml:space="preserve"> територіальної громади по видатках на фінансування галузі «Соціальний захист та соціальне забезпечення» на 2022-2024 роки передбачаються  головн</w:t>
      </w:r>
      <w:r w:rsidR="004E1005" w:rsidRPr="00E5580C">
        <w:rPr>
          <w:rFonts w:cs="Times New Roman"/>
          <w:szCs w:val="28"/>
        </w:rPr>
        <w:t>ому розпоряднику коштів</w:t>
      </w:r>
      <w:r w:rsidR="00EE3160" w:rsidRPr="00E5580C">
        <w:rPr>
          <w:rFonts w:cs="Times New Roman"/>
          <w:szCs w:val="28"/>
        </w:rPr>
        <w:t xml:space="preserve"> –</w:t>
      </w:r>
      <w:r w:rsidR="004E1005" w:rsidRPr="00E5580C">
        <w:rPr>
          <w:rFonts w:cs="Times New Roman"/>
          <w:szCs w:val="28"/>
        </w:rPr>
        <w:t xml:space="preserve"> </w:t>
      </w:r>
      <w:r w:rsidR="00EE3160" w:rsidRPr="00E5580C">
        <w:rPr>
          <w:rFonts w:cs="Times New Roman"/>
          <w:szCs w:val="28"/>
        </w:rPr>
        <w:t>Золочівській міській</w:t>
      </w:r>
      <w:r w:rsidRPr="00E5580C">
        <w:rPr>
          <w:rFonts w:cs="Times New Roman"/>
          <w:szCs w:val="28"/>
        </w:rPr>
        <w:t xml:space="preserve"> рад</w:t>
      </w:r>
      <w:r w:rsidR="004E1005" w:rsidRPr="00E5580C">
        <w:rPr>
          <w:rFonts w:cs="Times New Roman"/>
          <w:szCs w:val="28"/>
        </w:rPr>
        <w:t>і</w:t>
      </w:r>
      <w:r w:rsidRPr="00E5580C">
        <w:rPr>
          <w:rFonts w:cs="Times New Roman"/>
          <w:szCs w:val="28"/>
        </w:rPr>
        <w:t xml:space="preserve">. </w:t>
      </w:r>
    </w:p>
    <w:p w:rsidR="004D0199" w:rsidRPr="00E5580C" w:rsidRDefault="004D0199" w:rsidP="00263EA2">
      <w:pPr>
        <w:spacing w:line="240" w:lineRule="auto"/>
        <w:ind w:firstLine="709"/>
        <w:contextualSpacing/>
        <w:jc w:val="both"/>
        <w:rPr>
          <w:rFonts w:cs="Times New Roman"/>
          <w:szCs w:val="28"/>
        </w:rPr>
      </w:pPr>
      <w:r w:rsidRPr="00E5580C">
        <w:rPr>
          <w:rFonts w:cs="Times New Roman"/>
          <w:szCs w:val="28"/>
        </w:rPr>
        <w:t xml:space="preserve">Завданнями на 2022-2024 роки є: </w:t>
      </w:r>
    </w:p>
    <w:p w:rsidR="004D0199" w:rsidRPr="00E5580C" w:rsidRDefault="004D0199" w:rsidP="00263EA2">
      <w:pPr>
        <w:spacing w:line="240" w:lineRule="auto"/>
        <w:ind w:firstLine="709"/>
        <w:contextualSpacing/>
        <w:jc w:val="both"/>
        <w:rPr>
          <w:rFonts w:cs="Times New Roman"/>
          <w:szCs w:val="28"/>
        </w:rPr>
      </w:pPr>
      <w:r w:rsidRPr="00E5580C">
        <w:rPr>
          <w:rFonts w:cs="Times New Roman"/>
          <w:szCs w:val="28"/>
        </w:rPr>
        <w:t xml:space="preserve">забезпечення максимальної адресності та наближеності надання відповідної соціальної підтримки тим, хто її потребує; </w:t>
      </w:r>
    </w:p>
    <w:p w:rsidR="004D0199" w:rsidRPr="00E5580C" w:rsidRDefault="004D0199" w:rsidP="00263EA2">
      <w:pPr>
        <w:spacing w:line="240" w:lineRule="auto"/>
        <w:ind w:firstLine="709"/>
        <w:contextualSpacing/>
        <w:jc w:val="both"/>
        <w:rPr>
          <w:rFonts w:cs="Times New Roman"/>
          <w:szCs w:val="28"/>
        </w:rPr>
      </w:pPr>
      <w:r w:rsidRPr="00E5580C">
        <w:rPr>
          <w:rFonts w:cs="Times New Roman"/>
          <w:szCs w:val="28"/>
        </w:rPr>
        <w:t xml:space="preserve">прозорість та доступність в отриманні соціальної підтримки; </w:t>
      </w:r>
    </w:p>
    <w:p w:rsidR="004D0199" w:rsidRPr="00E5580C" w:rsidRDefault="004D0199" w:rsidP="00263EA2">
      <w:pPr>
        <w:spacing w:line="240" w:lineRule="auto"/>
        <w:ind w:firstLine="709"/>
        <w:contextualSpacing/>
        <w:jc w:val="both"/>
        <w:rPr>
          <w:rFonts w:cs="Times New Roman"/>
          <w:szCs w:val="28"/>
        </w:rPr>
      </w:pPr>
      <w:r w:rsidRPr="00E5580C">
        <w:rPr>
          <w:rFonts w:cs="Times New Roman"/>
          <w:szCs w:val="28"/>
        </w:rPr>
        <w:t xml:space="preserve">надання соціальної підтримки </w:t>
      </w:r>
      <w:r w:rsidR="00FB7DCE" w:rsidRPr="00E5580C">
        <w:rPr>
          <w:rFonts w:cs="Times New Roman"/>
          <w:szCs w:val="28"/>
        </w:rPr>
        <w:t>особам,</w:t>
      </w:r>
      <w:r w:rsidR="00F82A92" w:rsidRPr="00E5580C">
        <w:rPr>
          <w:rFonts w:cs="Times New Roman"/>
          <w:szCs w:val="28"/>
        </w:rPr>
        <w:t xml:space="preserve"> які опинились в складних життєвих </w:t>
      </w:r>
      <w:r w:rsidR="00FB7DCE" w:rsidRPr="00E5580C">
        <w:rPr>
          <w:rFonts w:cs="Times New Roman"/>
          <w:szCs w:val="28"/>
        </w:rPr>
        <w:t>обставинах</w:t>
      </w:r>
      <w:r w:rsidR="004E1005" w:rsidRPr="00E5580C">
        <w:rPr>
          <w:rFonts w:cs="Times New Roman"/>
          <w:szCs w:val="28"/>
        </w:rPr>
        <w:t>.</w:t>
      </w:r>
    </w:p>
    <w:p w:rsidR="00541B19" w:rsidRPr="00E5580C" w:rsidRDefault="004D0199" w:rsidP="00263EA2">
      <w:pPr>
        <w:spacing w:line="240" w:lineRule="auto"/>
        <w:ind w:firstLine="709"/>
        <w:contextualSpacing/>
        <w:jc w:val="both"/>
        <w:rPr>
          <w:rFonts w:cs="Times New Roman"/>
          <w:szCs w:val="28"/>
        </w:rPr>
      </w:pPr>
      <w:r w:rsidRPr="00E5580C">
        <w:rPr>
          <w:rFonts w:cs="Times New Roman"/>
          <w:szCs w:val="28"/>
        </w:rPr>
        <w:t>Основні результати, яких планується досягти:</w:t>
      </w:r>
    </w:p>
    <w:p w:rsidR="00541B19" w:rsidRPr="00E5580C" w:rsidRDefault="004D0199" w:rsidP="004D0199">
      <w:pPr>
        <w:ind w:firstLine="708"/>
        <w:jc w:val="both"/>
        <w:rPr>
          <w:rFonts w:cs="Times New Roman"/>
          <w:szCs w:val="28"/>
        </w:rPr>
      </w:pPr>
      <w:r w:rsidRPr="00E5580C">
        <w:rPr>
          <w:rFonts w:cs="Times New Roman"/>
          <w:szCs w:val="28"/>
        </w:rPr>
        <w:t xml:space="preserve"> </w:t>
      </w:r>
      <w:r w:rsidR="00541B19" w:rsidRPr="00E5580C">
        <w:rPr>
          <w:rFonts w:cs="Times New Roman"/>
          <w:szCs w:val="28"/>
        </w:rPr>
        <w:t xml:space="preserve">посилити соціальний захист окремих категорій громадян </w:t>
      </w:r>
      <w:r w:rsidR="00EE3160" w:rsidRPr="00E5580C">
        <w:rPr>
          <w:rFonts w:cs="Times New Roman"/>
          <w:szCs w:val="28"/>
        </w:rPr>
        <w:t xml:space="preserve">Золочівської  </w:t>
      </w:r>
      <w:r w:rsidR="00BF2255" w:rsidRPr="00E5580C">
        <w:rPr>
          <w:rFonts w:cs="Times New Roman"/>
          <w:szCs w:val="28"/>
        </w:rPr>
        <w:t xml:space="preserve">міської </w:t>
      </w:r>
      <w:r w:rsidR="00EE3160" w:rsidRPr="00E5580C">
        <w:rPr>
          <w:rFonts w:cs="Times New Roman"/>
          <w:szCs w:val="28"/>
        </w:rPr>
        <w:t xml:space="preserve">територіальної </w:t>
      </w:r>
      <w:r w:rsidR="00541B19" w:rsidRPr="00E5580C">
        <w:rPr>
          <w:rFonts w:cs="Times New Roman"/>
          <w:szCs w:val="28"/>
        </w:rPr>
        <w:t xml:space="preserve">громади, ефективно спрямувати відповідні грошові кошти на підтримку найбільш незахищених верств населення, для яких пільги і гарантії є додатковим засобом забезпечення достатнього життєвого рівня. </w:t>
      </w:r>
    </w:p>
    <w:p w:rsidR="004D0199" w:rsidRPr="00E5580C" w:rsidRDefault="00EA0611" w:rsidP="00541B19">
      <w:pPr>
        <w:ind w:firstLine="708"/>
        <w:jc w:val="center"/>
        <w:rPr>
          <w:rFonts w:cs="Times New Roman"/>
          <w:b/>
          <w:szCs w:val="28"/>
        </w:rPr>
      </w:pPr>
      <w:r w:rsidRPr="00E5580C">
        <w:rPr>
          <w:rFonts w:cs="Times New Roman"/>
          <w:b/>
          <w:szCs w:val="28"/>
        </w:rPr>
        <w:t>Культура і мистецтво</w:t>
      </w:r>
    </w:p>
    <w:p w:rsidR="00F07DE2" w:rsidRPr="00E5580C" w:rsidRDefault="004D0199" w:rsidP="004D0199">
      <w:pPr>
        <w:ind w:firstLine="708"/>
        <w:jc w:val="both"/>
        <w:rPr>
          <w:rFonts w:cs="Times New Roman"/>
          <w:szCs w:val="28"/>
        </w:rPr>
      </w:pPr>
      <w:r w:rsidRPr="00E5580C">
        <w:rPr>
          <w:rFonts w:cs="Times New Roman"/>
          <w:szCs w:val="28"/>
        </w:rPr>
        <w:t xml:space="preserve">Цілями державної політики у сфері культури , втіленням яких на місцевому рівні займається головний розпорядник бюджетних коштів - відділ </w:t>
      </w:r>
      <w:r w:rsidR="00F07DE2" w:rsidRPr="00E5580C">
        <w:rPr>
          <w:rFonts w:cs="Times New Roman"/>
          <w:szCs w:val="28"/>
        </w:rPr>
        <w:t xml:space="preserve">з питань </w:t>
      </w:r>
      <w:r w:rsidRPr="00E5580C">
        <w:rPr>
          <w:rFonts w:cs="Times New Roman"/>
          <w:szCs w:val="28"/>
        </w:rPr>
        <w:t>культури</w:t>
      </w:r>
      <w:r w:rsidR="00F07DE2" w:rsidRPr="00E5580C">
        <w:rPr>
          <w:rFonts w:cs="Times New Roman"/>
          <w:szCs w:val="28"/>
        </w:rPr>
        <w:t xml:space="preserve"> Золочівської міської </w:t>
      </w:r>
      <w:r w:rsidRPr="00E5580C">
        <w:rPr>
          <w:rFonts w:cs="Times New Roman"/>
          <w:szCs w:val="28"/>
        </w:rPr>
        <w:t>ради, є відродження та духовний розвиток традиці</w:t>
      </w:r>
      <w:r w:rsidR="00F07DE2" w:rsidRPr="00E5580C">
        <w:rPr>
          <w:rFonts w:cs="Times New Roman"/>
          <w:szCs w:val="28"/>
        </w:rPr>
        <w:t>й і культури української нації, популяризація народної творчості та проведення культурно-мистецьких заходів.</w:t>
      </w:r>
    </w:p>
    <w:p w:rsidR="004D0199" w:rsidRPr="00E5580C" w:rsidRDefault="004D0199" w:rsidP="004D0199">
      <w:pPr>
        <w:ind w:firstLine="708"/>
        <w:jc w:val="center"/>
        <w:rPr>
          <w:rFonts w:cs="Times New Roman"/>
          <w:b/>
          <w:szCs w:val="28"/>
        </w:rPr>
      </w:pPr>
      <w:r w:rsidRPr="00E5580C">
        <w:rPr>
          <w:rFonts w:cs="Times New Roman"/>
          <w:b/>
          <w:szCs w:val="28"/>
        </w:rPr>
        <w:t xml:space="preserve">Фізична культура </w:t>
      </w:r>
      <w:r w:rsidR="00EA0611" w:rsidRPr="00E5580C">
        <w:rPr>
          <w:rFonts w:cs="Times New Roman"/>
          <w:b/>
          <w:szCs w:val="28"/>
        </w:rPr>
        <w:t>і</w:t>
      </w:r>
      <w:r w:rsidRPr="00E5580C">
        <w:rPr>
          <w:rFonts w:cs="Times New Roman"/>
          <w:b/>
          <w:szCs w:val="28"/>
        </w:rPr>
        <w:t xml:space="preserve"> спорт</w:t>
      </w:r>
    </w:p>
    <w:p w:rsidR="004D0199" w:rsidRPr="00E5580C" w:rsidRDefault="004D0199" w:rsidP="004D0199">
      <w:pPr>
        <w:ind w:firstLine="708"/>
        <w:jc w:val="both"/>
        <w:rPr>
          <w:rFonts w:cs="Times New Roman"/>
          <w:szCs w:val="28"/>
        </w:rPr>
      </w:pPr>
      <w:r w:rsidRPr="00E5580C">
        <w:rPr>
          <w:rFonts w:cs="Times New Roman"/>
          <w:szCs w:val="28"/>
        </w:rPr>
        <w:t>Цілями державної політики у сфері фізичної культури та спорту</w:t>
      </w:r>
      <w:r w:rsidR="00077184" w:rsidRPr="00E5580C">
        <w:rPr>
          <w:rFonts w:cs="Times New Roman"/>
          <w:szCs w:val="28"/>
        </w:rPr>
        <w:t>,</w:t>
      </w:r>
      <w:r w:rsidR="004E1005" w:rsidRPr="00E5580C">
        <w:rPr>
          <w:rFonts w:cs="Times New Roman"/>
          <w:szCs w:val="28"/>
        </w:rPr>
        <w:t xml:space="preserve"> головн</w:t>
      </w:r>
      <w:r w:rsidR="00F07DE2" w:rsidRPr="00E5580C">
        <w:rPr>
          <w:rFonts w:cs="Times New Roman"/>
          <w:szCs w:val="28"/>
        </w:rPr>
        <w:t>ий</w:t>
      </w:r>
      <w:r w:rsidRPr="00E5580C">
        <w:rPr>
          <w:rFonts w:cs="Times New Roman"/>
          <w:szCs w:val="28"/>
        </w:rPr>
        <w:t xml:space="preserve"> розпорядник бюджетних коштів </w:t>
      </w:r>
      <w:r w:rsidR="00F36656" w:rsidRPr="00E5580C">
        <w:rPr>
          <w:rFonts w:cs="Times New Roman"/>
          <w:szCs w:val="28"/>
        </w:rPr>
        <w:t>–</w:t>
      </w:r>
      <w:r w:rsidR="00077184" w:rsidRPr="00E5580C">
        <w:rPr>
          <w:rFonts w:cs="Times New Roman"/>
          <w:szCs w:val="28"/>
        </w:rPr>
        <w:t xml:space="preserve"> </w:t>
      </w:r>
      <w:r w:rsidR="00001AF6" w:rsidRPr="00E5580C">
        <w:rPr>
          <w:rFonts w:cs="Times New Roman"/>
          <w:szCs w:val="28"/>
        </w:rPr>
        <w:t xml:space="preserve">відділ </w:t>
      </w:r>
      <w:r w:rsidR="00F07DE2" w:rsidRPr="00E5580C">
        <w:rPr>
          <w:rFonts w:cs="Times New Roman"/>
          <w:szCs w:val="28"/>
        </w:rPr>
        <w:t xml:space="preserve">з питань </w:t>
      </w:r>
      <w:r w:rsidR="00001AF6" w:rsidRPr="00E5580C">
        <w:rPr>
          <w:rFonts w:cs="Times New Roman"/>
          <w:szCs w:val="28"/>
        </w:rPr>
        <w:t>освіти</w:t>
      </w:r>
      <w:r w:rsidR="00F07DE2" w:rsidRPr="00E5580C">
        <w:rPr>
          <w:rFonts w:cs="Times New Roman"/>
          <w:szCs w:val="28"/>
        </w:rPr>
        <w:t>, молоді і спорту</w:t>
      </w:r>
      <w:r w:rsidR="00077184" w:rsidRPr="00E5580C">
        <w:rPr>
          <w:rFonts w:cs="Times New Roman"/>
          <w:szCs w:val="28"/>
        </w:rPr>
        <w:t>,</w:t>
      </w:r>
      <w:r w:rsidRPr="00E5580C">
        <w:rPr>
          <w:rFonts w:cs="Times New Roman"/>
          <w:szCs w:val="28"/>
        </w:rPr>
        <w:t xml:space="preserve"> є створення умов для розвитку індивідуальних здібностей спортсменів та досягнення високих спортивних результатів.  </w:t>
      </w:r>
    </w:p>
    <w:p w:rsidR="00F07DE2" w:rsidRPr="00E5580C" w:rsidRDefault="004D0199" w:rsidP="00F07DE2">
      <w:pPr>
        <w:ind w:firstLine="708"/>
        <w:jc w:val="both"/>
        <w:rPr>
          <w:rFonts w:cs="Times New Roman"/>
          <w:szCs w:val="28"/>
        </w:rPr>
      </w:pPr>
      <w:r w:rsidRPr="00E5580C">
        <w:rPr>
          <w:rFonts w:cs="Times New Roman"/>
          <w:szCs w:val="28"/>
        </w:rPr>
        <w:t>Протягом 2022-2024 років планується досягти :</w:t>
      </w:r>
    </w:p>
    <w:p w:rsidR="004D0199" w:rsidRPr="00E5580C" w:rsidRDefault="004D0199" w:rsidP="00F07DE2">
      <w:pPr>
        <w:ind w:firstLine="708"/>
        <w:jc w:val="both"/>
        <w:rPr>
          <w:rFonts w:cs="Times New Roman"/>
          <w:szCs w:val="28"/>
        </w:rPr>
      </w:pPr>
      <w:r w:rsidRPr="00E5580C">
        <w:rPr>
          <w:rFonts w:cs="Times New Roman"/>
          <w:szCs w:val="28"/>
        </w:rPr>
        <w:t xml:space="preserve"> створення безпечних умов для залучення широких верств населення до масового спорту; створення стимулів для здорового способу життя й здорових умов праці шляхом розвитку інфраструктури для занять масовим спортом та активного відпочинку. </w:t>
      </w:r>
    </w:p>
    <w:p w:rsidR="00DF5047" w:rsidRPr="00E5580C" w:rsidRDefault="00E05C35" w:rsidP="004D0199">
      <w:pPr>
        <w:ind w:firstLine="708"/>
        <w:jc w:val="center"/>
        <w:rPr>
          <w:rFonts w:cs="Times New Roman"/>
          <w:b/>
          <w:szCs w:val="28"/>
        </w:rPr>
      </w:pPr>
      <w:r w:rsidRPr="00E5580C">
        <w:rPr>
          <w:rFonts w:cs="Times New Roman"/>
          <w:b/>
          <w:szCs w:val="28"/>
        </w:rPr>
        <w:t>Житлово-комунальне господарство</w:t>
      </w:r>
    </w:p>
    <w:p w:rsidR="00AD11BC" w:rsidRPr="00E5580C" w:rsidRDefault="00E05C35" w:rsidP="0041563F">
      <w:pPr>
        <w:ind w:firstLine="708"/>
        <w:jc w:val="both"/>
        <w:rPr>
          <w:rFonts w:cs="Times New Roman"/>
          <w:szCs w:val="28"/>
        </w:rPr>
      </w:pPr>
      <w:r w:rsidRPr="00E5580C">
        <w:rPr>
          <w:rFonts w:cs="Times New Roman"/>
          <w:szCs w:val="28"/>
        </w:rPr>
        <w:t>Реалізація цілей державної політики, власних повноважень органів місцевого самоврядування в сфері утримання, благоустрою та розвитку житлово</w:t>
      </w:r>
      <w:r w:rsidR="00001AF6" w:rsidRPr="00E5580C">
        <w:rPr>
          <w:rFonts w:cs="Times New Roman"/>
          <w:szCs w:val="28"/>
        </w:rPr>
        <w:t>-комунального господарства громади</w:t>
      </w:r>
      <w:r w:rsidRPr="00E5580C">
        <w:rPr>
          <w:rFonts w:cs="Times New Roman"/>
          <w:szCs w:val="28"/>
        </w:rPr>
        <w:t xml:space="preserve">, а також у сфері забезпечення ефективного функціонування та розвитку вулично-дорожньої мережі визначена заходами  </w:t>
      </w:r>
      <w:r w:rsidR="00AD11BC" w:rsidRPr="00E5580C">
        <w:rPr>
          <w:rFonts w:cs="Times New Roman"/>
          <w:szCs w:val="28"/>
        </w:rPr>
        <w:t xml:space="preserve">місцевої </w:t>
      </w:r>
      <w:r w:rsidRPr="00E5580C">
        <w:rPr>
          <w:rFonts w:cs="Times New Roman"/>
          <w:szCs w:val="28"/>
        </w:rPr>
        <w:t xml:space="preserve">програми розвитку житлово-комунального господарства </w:t>
      </w:r>
      <w:r w:rsidR="00F07DE2" w:rsidRPr="00E5580C">
        <w:rPr>
          <w:rFonts w:cs="Times New Roman"/>
          <w:szCs w:val="28"/>
        </w:rPr>
        <w:t xml:space="preserve">Золочівької міської </w:t>
      </w:r>
      <w:r w:rsidR="00F36656" w:rsidRPr="00E5580C">
        <w:rPr>
          <w:rFonts w:cs="Times New Roman"/>
          <w:szCs w:val="28"/>
        </w:rPr>
        <w:t xml:space="preserve"> ради. </w:t>
      </w:r>
    </w:p>
    <w:p w:rsidR="00842561" w:rsidRPr="00E5580C" w:rsidRDefault="00E05C35" w:rsidP="00AD11BC">
      <w:pPr>
        <w:ind w:firstLine="708"/>
        <w:jc w:val="both"/>
        <w:rPr>
          <w:rFonts w:cs="Times New Roman"/>
          <w:b/>
          <w:szCs w:val="28"/>
        </w:rPr>
      </w:pPr>
      <w:r w:rsidRPr="00E5580C">
        <w:rPr>
          <w:rFonts w:cs="Times New Roman"/>
          <w:szCs w:val="28"/>
        </w:rPr>
        <w:t>Пріоритетними напрямками розвитку житлово-комунального господарства є</w:t>
      </w:r>
      <w:r w:rsidR="00AD11BC" w:rsidRPr="00E5580C">
        <w:rPr>
          <w:rFonts w:cs="Times New Roman"/>
          <w:szCs w:val="28"/>
        </w:rPr>
        <w:t>:</w:t>
      </w:r>
      <w:r w:rsidRPr="00E5580C">
        <w:rPr>
          <w:rFonts w:cs="Times New Roman"/>
          <w:szCs w:val="28"/>
        </w:rPr>
        <w:t xml:space="preserve"> задоволення потреб мешканців в усіх видах житлово</w:t>
      </w:r>
      <w:r w:rsidR="00F07DE2" w:rsidRPr="00E5580C">
        <w:rPr>
          <w:rFonts w:cs="Times New Roman"/>
          <w:szCs w:val="28"/>
        </w:rPr>
        <w:t>-</w:t>
      </w:r>
      <w:r w:rsidRPr="00E5580C">
        <w:rPr>
          <w:rFonts w:cs="Times New Roman"/>
          <w:szCs w:val="28"/>
        </w:rPr>
        <w:t xml:space="preserve">комунальних послуг, створення комфортних умов для проживання та надання їм якісних житлово-комунальних послуг, належне утримання об’єктів комунальної власності, реконструкція системи </w:t>
      </w:r>
      <w:r w:rsidR="00F36656" w:rsidRPr="00E5580C">
        <w:rPr>
          <w:rFonts w:cs="Times New Roman"/>
          <w:szCs w:val="28"/>
        </w:rPr>
        <w:t>водопостачання</w:t>
      </w:r>
      <w:r w:rsidR="007F69EF" w:rsidRPr="00E5580C">
        <w:rPr>
          <w:rFonts w:cs="Times New Roman"/>
          <w:szCs w:val="28"/>
        </w:rPr>
        <w:t xml:space="preserve"> </w:t>
      </w:r>
      <w:r w:rsidR="00F07DE2" w:rsidRPr="00E5580C">
        <w:rPr>
          <w:rFonts w:cs="Times New Roman"/>
          <w:szCs w:val="28"/>
        </w:rPr>
        <w:t>міста</w:t>
      </w:r>
      <w:r w:rsidR="00001AF6" w:rsidRPr="00E5580C">
        <w:rPr>
          <w:rFonts w:cs="Times New Roman"/>
          <w:szCs w:val="28"/>
        </w:rPr>
        <w:t xml:space="preserve"> та сіл громади</w:t>
      </w:r>
      <w:r w:rsidRPr="00E5580C">
        <w:rPr>
          <w:rFonts w:cs="Times New Roman"/>
          <w:szCs w:val="28"/>
        </w:rPr>
        <w:t>, збільшення обсягів робіт капітального</w:t>
      </w:r>
      <w:r w:rsidR="00F36656" w:rsidRPr="00E5580C">
        <w:rPr>
          <w:rFonts w:cs="Times New Roman"/>
          <w:szCs w:val="28"/>
        </w:rPr>
        <w:t xml:space="preserve"> ремонту житлового фонду, об’єктів благоустрою</w:t>
      </w:r>
      <w:r w:rsidRPr="00E5580C">
        <w:rPr>
          <w:rFonts w:cs="Times New Roman"/>
          <w:szCs w:val="28"/>
        </w:rPr>
        <w:t xml:space="preserve">. </w:t>
      </w:r>
    </w:p>
    <w:p w:rsidR="00DF5047" w:rsidRPr="00E5580C" w:rsidRDefault="00EA0611" w:rsidP="00EA0611">
      <w:pPr>
        <w:jc w:val="center"/>
        <w:rPr>
          <w:rFonts w:cs="Times New Roman"/>
          <w:b/>
          <w:szCs w:val="28"/>
        </w:rPr>
      </w:pPr>
      <w:r w:rsidRPr="00E5580C">
        <w:rPr>
          <w:rFonts w:cs="Times New Roman"/>
          <w:b/>
          <w:szCs w:val="28"/>
        </w:rPr>
        <w:t>Транспорт та транспортна інфраструктура</w:t>
      </w:r>
    </w:p>
    <w:p w:rsidR="00AD5E96" w:rsidRPr="00E5580C" w:rsidRDefault="00F07DE2" w:rsidP="00AD11BC">
      <w:pPr>
        <w:ind w:firstLine="708"/>
        <w:jc w:val="both"/>
        <w:rPr>
          <w:rFonts w:cs="Times New Roman"/>
          <w:szCs w:val="28"/>
        </w:rPr>
      </w:pPr>
      <w:r w:rsidRPr="00E5580C">
        <w:rPr>
          <w:rFonts w:cs="Times New Roman"/>
          <w:szCs w:val="28"/>
        </w:rPr>
        <w:t>При</w:t>
      </w:r>
      <w:r w:rsidR="00AD11BC" w:rsidRPr="00E5580C">
        <w:rPr>
          <w:rFonts w:cs="Times New Roman"/>
          <w:szCs w:val="28"/>
        </w:rPr>
        <w:t>орітетами розвитку дорожньо-транспортної інфрас</w:t>
      </w:r>
      <w:r w:rsidR="00AD5E96" w:rsidRPr="00E5580C">
        <w:rPr>
          <w:rFonts w:cs="Times New Roman"/>
          <w:szCs w:val="28"/>
        </w:rPr>
        <w:t>труктури у пр</w:t>
      </w:r>
      <w:r w:rsidR="00001AF6" w:rsidRPr="00E5580C">
        <w:rPr>
          <w:rFonts w:cs="Times New Roman"/>
          <w:szCs w:val="28"/>
        </w:rPr>
        <w:t>о</w:t>
      </w:r>
      <w:r w:rsidR="00AD5E96" w:rsidRPr="00E5580C">
        <w:rPr>
          <w:rFonts w:cs="Times New Roman"/>
          <w:szCs w:val="28"/>
        </w:rPr>
        <w:t>гнозному періоді є поліпшення наявних об’єктів для потреб економічного розви</w:t>
      </w:r>
      <w:r w:rsidR="00001AF6" w:rsidRPr="00E5580C">
        <w:rPr>
          <w:rFonts w:cs="Times New Roman"/>
          <w:szCs w:val="28"/>
        </w:rPr>
        <w:t>тку й підвищення якості життя громадян</w:t>
      </w:r>
      <w:r w:rsidR="00AD5E96" w:rsidRPr="00E5580C">
        <w:rPr>
          <w:rFonts w:cs="Times New Roman"/>
          <w:szCs w:val="28"/>
        </w:rPr>
        <w:t>.</w:t>
      </w:r>
    </w:p>
    <w:p w:rsidR="00AD5E96" w:rsidRPr="00E5580C" w:rsidRDefault="00AD5E96" w:rsidP="00263EA2">
      <w:pPr>
        <w:spacing w:line="240" w:lineRule="auto"/>
        <w:ind w:firstLine="708"/>
        <w:jc w:val="both"/>
        <w:rPr>
          <w:rFonts w:cs="Times New Roman"/>
          <w:szCs w:val="28"/>
        </w:rPr>
      </w:pPr>
      <w:r w:rsidRPr="00E5580C">
        <w:rPr>
          <w:rFonts w:cs="Times New Roman"/>
          <w:szCs w:val="28"/>
        </w:rPr>
        <w:t>Передбачається здійснити такі заходи:</w:t>
      </w:r>
    </w:p>
    <w:p w:rsidR="00AD5E96" w:rsidRPr="00E5580C" w:rsidRDefault="00AD11BC" w:rsidP="00263EA2">
      <w:pPr>
        <w:pStyle w:val="a5"/>
        <w:numPr>
          <w:ilvl w:val="0"/>
          <w:numId w:val="16"/>
        </w:numPr>
        <w:spacing w:line="240" w:lineRule="auto"/>
        <w:jc w:val="both"/>
        <w:rPr>
          <w:rFonts w:cs="Times New Roman"/>
          <w:szCs w:val="28"/>
        </w:rPr>
      </w:pPr>
      <w:r w:rsidRPr="00E5580C">
        <w:rPr>
          <w:rFonts w:cs="Times New Roman"/>
          <w:szCs w:val="28"/>
        </w:rPr>
        <w:t>проведення робіт з реконструкції і ремонту доріг громади,</w:t>
      </w:r>
    </w:p>
    <w:p w:rsidR="00AD5E96" w:rsidRPr="00E5580C" w:rsidRDefault="00AD11BC" w:rsidP="00263EA2">
      <w:pPr>
        <w:pStyle w:val="a5"/>
        <w:numPr>
          <w:ilvl w:val="0"/>
          <w:numId w:val="16"/>
        </w:numPr>
        <w:spacing w:line="240" w:lineRule="auto"/>
        <w:jc w:val="both"/>
        <w:rPr>
          <w:rFonts w:cs="Times New Roman"/>
          <w:szCs w:val="28"/>
        </w:rPr>
      </w:pPr>
      <w:r w:rsidRPr="00E5580C">
        <w:rPr>
          <w:rFonts w:cs="Times New Roman"/>
          <w:szCs w:val="28"/>
        </w:rPr>
        <w:t xml:space="preserve">капітального ремонту тротуарів; </w:t>
      </w:r>
    </w:p>
    <w:p w:rsidR="00AD11BC" w:rsidRPr="00E5580C" w:rsidRDefault="00AD11BC" w:rsidP="00263EA2">
      <w:pPr>
        <w:pStyle w:val="a5"/>
        <w:numPr>
          <w:ilvl w:val="0"/>
          <w:numId w:val="16"/>
        </w:numPr>
        <w:spacing w:line="240" w:lineRule="auto"/>
        <w:jc w:val="both"/>
        <w:rPr>
          <w:rFonts w:cs="Times New Roman"/>
          <w:szCs w:val="28"/>
        </w:rPr>
      </w:pPr>
      <w:r w:rsidRPr="00E5580C">
        <w:rPr>
          <w:rFonts w:cs="Times New Roman"/>
          <w:szCs w:val="28"/>
        </w:rPr>
        <w:t xml:space="preserve">підвищення безпеки дорожнього руху. </w:t>
      </w:r>
    </w:p>
    <w:p w:rsidR="001F5301" w:rsidRPr="00E5580C" w:rsidRDefault="00DF5047" w:rsidP="00263EA2">
      <w:pPr>
        <w:tabs>
          <w:tab w:val="left" w:pos="993"/>
        </w:tabs>
        <w:spacing w:line="240" w:lineRule="auto"/>
        <w:ind w:firstLine="709"/>
        <w:contextualSpacing/>
        <w:jc w:val="both"/>
        <w:rPr>
          <w:rFonts w:cs="Times New Roman"/>
          <w:szCs w:val="28"/>
        </w:rPr>
      </w:pPr>
      <w:r w:rsidRPr="00E5580C">
        <w:rPr>
          <w:rFonts w:cs="Times New Roman"/>
          <w:b/>
          <w:szCs w:val="28"/>
        </w:rPr>
        <w:t xml:space="preserve">                                   </w:t>
      </w:r>
      <w:r w:rsidR="001F5301" w:rsidRPr="00E5580C">
        <w:rPr>
          <w:rFonts w:cs="Times New Roman"/>
          <w:b/>
          <w:szCs w:val="28"/>
          <w:lang w:val="en-US"/>
        </w:rPr>
        <w:t>VII</w:t>
      </w:r>
      <w:r w:rsidR="001F5301" w:rsidRPr="00E5580C">
        <w:rPr>
          <w:rFonts w:cs="Times New Roman"/>
          <w:b/>
          <w:szCs w:val="28"/>
        </w:rPr>
        <w:t>. Бюджет розвитку</w:t>
      </w:r>
    </w:p>
    <w:p w:rsidR="001F5301" w:rsidRPr="00E5580C" w:rsidRDefault="001F5301" w:rsidP="00AD5E96">
      <w:pPr>
        <w:spacing w:after="0"/>
        <w:ind w:left="360"/>
        <w:jc w:val="both"/>
        <w:rPr>
          <w:rFonts w:cs="Times New Roman"/>
          <w:szCs w:val="28"/>
        </w:rPr>
      </w:pPr>
      <w:r w:rsidRPr="00E5580C">
        <w:rPr>
          <w:rFonts w:cs="Times New Roman"/>
          <w:szCs w:val="28"/>
        </w:rPr>
        <w:t xml:space="preserve">      Показники  бюджету  розвитку  за  основними  видами  надходжень  та</w:t>
      </w:r>
    </w:p>
    <w:p w:rsidR="00AD5E96" w:rsidRPr="00E5580C" w:rsidRDefault="001F5301" w:rsidP="00DF5047">
      <w:pPr>
        <w:spacing w:after="0"/>
        <w:jc w:val="both"/>
        <w:rPr>
          <w:rFonts w:cs="Times New Roman"/>
          <w:szCs w:val="28"/>
        </w:rPr>
      </w:pPr>
      <w:r w:rsidRPr="00E5580C">
        <w:rPr>
          <w:rFonts w:cs="Times New Roman"/>
          <w:szCs w:val="28"/>
        </w:rPr>
        <w:t xml:space="preserve"> орієнтовними обсягами витрат у середньостроковому періоді наведені у додатках 9, 10. До бюджету розвитку прогнозується надходження від продажу землі несільськогосподарського призначення. Упродовж середньострокового періоду планується продовжити комплекс робіт, спрямованих на розв’язання актуальних проблем соціально-економічного розвитку громади у галузях освіти, культури, охорони здоров’я, житлово-комунального господарства. </w:t>
      </w:r>
    </w:p>
    <w:p w:rsidR="001F5301" w:rsidRPr="00E5580C" w:rsidRDefault="001F5301" w:rsidP="00AD5E96">
      <w:pPr>
        <w:tabs>
          <w:tab w:val="left" w:pos="993"/>
        </w:tabs>
        <w:spacing w:before="120" w:after="120"/>
        <w:ind w:left="720"/>
        <w:jc w:val="center"/>
        <w:rPr>
          <w:rFonts w:cs="Times New Roman"/>
          <w:b/>
          <w:szCs w:val="28"/>
        </w:rPr>
      </w:pPr>
      <w:r w:rsidRPr="00E5580C">
        <w:rPr>
          <w:rFonts w:cs="Times New Roman"/>
          <w:b/>
          <w:szCs w:val="28"/>
          <w:lang w:val="en-US"/>
        </w:rPr>
        <w:t>VIII</w:t>
      </w:r>
      <w:r w:rsidRPr="00E5580C">
        <w:rPr>
          <w:rFonts w:cs="Times New Roman"/>
          <w:b/>
          <w:szCs w:val="28"/>
        </w:rPr>
        <w:t>. Взаємовідносини бюджету з іншими бюджетами</w:t>
      </w:r>
    </w:p>
    <w:p w:rsidR="001F5301" w:rsidRPr="00E5580C" w:rsidRDefault="001F5301" w:rsidP="00DF5047">
      <w:pPr>
        <w:tabs>
          <w:tab w:val="left" w:pos="993"/>
        </w:tabs>
        <w:spacing w:before="120" w:after="0"/>
        <w:jc w:val="both"/>
        <w:rPr>
          <w:rFonts w:cs="Times New Roman"/>
          <w:szCs w:val="28"/>
        </w:rPr>
      </w:pPr>
      <w:r w:rsidRPr="00E5580C">
        <w:rPr>
          <w:rFonts w:cs="Times New Roman"/>
          <w:szCs w:val="28"/>
        </w:rPr>
        <w:t xml:space="preserve">          Міжбюджетними трансфертами, які надходять з державного бюджету до  бюджету </w:t>
      </w:r>
      <w:r w:rsidR="00F07DE2" w:rsidRPr="00E5580C">
        <w:rPr>
          <w:rFonts w:cs="Times New Roman"/>
          <w:szCs w:val="28"/>
        </w:rPr>
        <w:t>міської</w:t>
      </w:r>
      <w:r w:rsidRPr="00E5580C">
        <w:rPr>
          <w:rFonts w:cs="Times New Roman"/>
          <w:szCs w:val="28"/>
        </w:rPr>
        <w:t xml:space="preserve"> територіальної громади є: базова дотація та освітня субвенція. Найбільшу питому вагу у обсязі міжбюджетних трансфертів займає освітня субвенція з державного бюджету. Темпи зростання обсягів освітньої субвенції з державного бюджету становлять на 2022 рік до плану 2021 року </w:t>
      </w:r>
      <w:r w:rsidR="00001AF6" w:rsidRPr="00E5580C">
        <w:rPr>
          <w:rFonts w:cs="Times New Roman"/>
          <w:szCs w:val="28"/>
        </w:rPr>
        <w:t xml:space="preserve">– 109,1%, на 2023 рік до прогнозу </w:t>
      </w:r>
      <w:r w:rsidRPr="00E5580C">
        <w:rPr>
          <w:rFonts w:cs="Times New Roman"/>
          <w:szCs w:val="28"/>
        </w:rPr>
        <w:t xml:space="preserve"> 2022 року –</w:t>
      </w:r>
      <w:r w:rsidR="00001AF6" w:rsidRPr="00E5580C">
        <w:rPr>
          <w:rFonts w:cs="Times New Roman"/>
          <w:szCs w:val="28"/>
        </w:rPr>
        <w:t xml:space="preserve"> 109,5 %, на 2024 рік до прогнозу</w:t>
      </w:r>
      <w:r w:rsidRPr="00E5580C">
        <w:rPr>
          <w:rFonts w:cs="Times New Roman"/>
          <w:szCs w:val="28"/>
        </w:rPr>
        <w:t xml:space="preserve"> 2023 року – 106,8 %. </w:t>
      </w:r>
    </w:p>
    <w:p w:rsidR="001F5301" w:rsidRPr="00E5580C" w:rsidRDefault="001F5301" w:rsidP="00DF3060">
      <w:pPr>
        <w:spacing w:after="0" w:line="240" w:lineRule="auto"/>
        <w:ind w:left="360"/>
        <w:contextualSpacing/>
        <w:jc w:val="both"/>
        <w:rPr>
          <w:rFonts w:cs="Times New Roman"/>
          <w:szCs w:val="28"/>
        </w:rPr>
      </w:pPr>
      <w:r w:rsidRPr="00E5580C">
        <w:rPr>
          <w:rFonts w:cs="Times New Roman"/>
          <w:szCs w:val="28"/>
        </w:rPr>
        <w:t xml:space="preserve">    Міжбюджетні трансферти мають цільове спрямування і використовуються</w:t>
      </w:r>
    </w:p>
    <w:p w:rsidR="001F5301" w:rsidRPr="00E5580C" w:rsidRDefault="001F5301" w:rsidP="00DF3060">
      <w:pPr>
        <w:spacing w:after="0" w:line="240" w:lineRule="auto"/>
        <w:contextualSpacing/>
        <w:jc w:val="both"/>
        <w:rPr>
          <w:rFonts w:cs="Times New Roman"/>
          <w:szCs w:val="28"/>
        </w:rPr>
      </w:pPr>
      <w:r w:rsidRPr="00E5580C">
        <w:rPr>
          <w:rFonts w:cs="Times New Roman"/>
          <w:szCs w:val="28"/>
        </w:rPr>
        <w:t>відповідно до порядків їх використання.</w:t>
      </w:r>
    </w:p>
    <w:p w:rsidR="001F5301" w:rsidRPr="00E5580C" w:rsidRDefault="001F5301" w:rsidP="00DF3060">
      <w:pPr>
        <w:tabs>
          <w:tab w:val="left" w:pos="993"/>
        </w:tabs>
        <w:spacing w:before="120" w:after="0" w:line="240" w:lineRule="auto"/>
        <w:contextualSpacing/>
        <w:jc w:val="both"/>
        <w:rPr>
          <w:rFonts w:cs="Times New Roman"/>
          <w:szCs w:val="28"/>
        </w:rPr>
      </w:pPr>
      <w:r w:rsidRPr="00E5580C">
        <w:rPr>
          <w:rFonts w:cs="Times New Roman"/>
          <w:szCs w:val="28"/>
        </w:rPr>
        <w:t xml:space="preserve">         Показники міжбюджетних трансфертів відображені в додатк</w:t>
      </w:r>
      <w:r w:rsidR="00077184" w:rsidRPr="00E5580C">
        <w:rPr>
          <w:rFonts w:cs="Times New Roman"/>
          <w:szCs w:val="28"/>
        </w:rPr>
        <w:t>у</w:t>
      </w:r>
      <w:r w:rsidRPr="00E5580C">
        <w:rPr>
          <w:rFonts w:cs="Times New Roman"/>
          <w:szCs w:val="28"/>
        </w:rPr>
        <w:t xml:space="preserve"> 11</w:t>
      </w:r>
      <w:r w:rsidR="00077184" w:rsidRPr="00E5580C">
        <w:rPr>
          <w:rFonts w:cs="Times New Roman"/>
          <w:szCs w:val="28"/>
        </w:rPr>
        <w:t xml:space="preserve"> до </w:t>
      </w:r>
      <w:r w:rsidRPr="00E5580C">
        <w:rPr>
          <w:rFonts w:cs="Times New Roman"/>
          <w:szCs w:val="28"/>
        </w:rPr>
        <w:t xml:space="preserve">цього прогнозу.       </w:t>
      </w:r>
    </w:p>
    <w:p w:rsidR="001F5301" w:rsidRPr="00E5580C" w:rsidRDefault="001F5301" w:rsidP="00CC7594">
      <w:pPr>
        <w:tabs>
          <w:tab w:val="left" w:pos="993"/>
        </w:tabs>
        <w:spacing w:before="120" w:after="120"/>
        <w:jc w:val="center"/>
        <w:rPr>
          <w:rFonts w:cs="Times New Roman"/>
          <w:b/>
          <w:szCs w:val="28"/>
        </w:rPr>
      </w:pPr>
      <w:r w:rsidRPr="00E5580C">
        <w:rPr>
          <w:rFonts w:cs="Times New Roman"/>
          <w:b/>
          <w:szCs w:val="28"/>
          <w:lang w:val="en-US"/>
        </w:rPr>
        <w:t>IX</w:t>
      </w:r>
      <w:r w:rsidRPr="00E5580C">
        <w:rPr>
          <w:rFonts w:cs="Times New Roman"/>
          <w:b/>
          <w:szCs w:val="28"/>
        </w:rPr>
        <w:t>. Інші положення та показники прогнозу бюджету</w:t>
      </w:r>
    </w:p>
    <w:p w:rsidR="00AD1581" w:rsidRPr="00E5580C" w:rsidRDefault="00AD1581" w:rsidP="00AD1581">
      <w:pPr>
        <w:ind w:firstLine="540"/>
        <w:jc w:val="both"/>
        <w:rPr>
          <w:rFonts w:cs="Times New Roman"/>
          <w:szCs w:val="28"/>
        </w:rPr>
      </w:pPr>
      <w:r w:rsidRPr="00E5580C">
        <w:rPr>
          <w:rFonts w:cs="Times New Roman"/>
          <w:szCs w:val="28"/>
        </w:rPr>
        <w:t>Слід зазначити, що при складанні прогнозу міського бюджету на 2022-2024 роки враховані вимоги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електричну та теплову енергію, водопостачання, водовідведення, природній газ та послуги зв’язку, які споживаються бюджетними установами.</w:t>
      </w:r>
    </w:p>
    <w:p w:rsidR="00AD1581" w:rsidRPr="00E5580C" w:rsidRDefault="00AD1581" w:rsidP="00AD1581">
      <w:pPr>
        <w:ind w:firstLine="540"/>
        <w:jc w:val="both"/>
        <w:outlineLvl w:val="2"/>
        <w:rPr>
          <w:rFonts w:cs="Times New Roman"/>
          <w:szCs w:val="28"/>
        </w:rPr>
      </w:pPr>
      <w:r w:rsidRPr="00E5580C">
        <w:rPr>
          <w:rFonts w:cs="Times New Roman"/>
          <w:szCs w:val="28"/>
        </w:rPr>
        <w:t>Першочергово також враховані обсяги видатків, необхідні для забезпечення стабільної роботи установ та закладів соціально – культурної сфери, надання встановлених власних соціальних гарантій для малозахищених категорій громадян, підтримку в належному стані об’єктів житлово – комунального господарства, інших об’єктів інфраструктури міста, впровадження заходів з енергозбереження, а також виконання в межах фінансових можливостей місцевих програм.</w:t>
      </w:r>
    </w:p>
    <w:p w:rsidR="00AD1581" w:rsidRPr="00E5580C" w:rsidRDefault="00AD1581" w:rsidP="00AD1581">
      <w:pPr>
        <w:jc w:val="both"/>
        <w:rPr>
          <w:rFonts w:cs="Times New Roman"/>
          <w:szCs w:val="28"/>
        </w:rPr>
      </w:pPr>
      <w:r w:rsidRPr="00E5580C">
        <w:rPr>
          <w:rFonts w:cs="Times New Roman"/>
          <w:szCs w:val="28"/>
        </w:rPr>
        <w:t xml:space="preserve">        Конкретні показники обсягів бюджету міської територіальної громади на 2022-2024 роки будуть уточнюватися залежно від законодавчих змін у бюджетній та податковій політиці, показників соціального та економічного розвитку території та реальних можливостей бюджету на відповідні роки.</w:t>
      </w:r>
    </w:p>
    <w:p w:rsidR="00AD1581" w:rsidRPr="00E5580C" w:rsidRDefault="00AD1581" w:rsidP="00AD1581">
      <w:pPr>
        <w:rPr>
          <w:rFonts w:cs="Times New Roman"/>
          <w:szCs w:val="28"/>
        </w:rPr>
      </w:pPr>
      <w:r w:rsidRPr="00E5580C">
        <w:rPr>
          <w:rFonts w:cs="Times New Roman"/>
          <w:szCs w:val="28"/>
        </w:rPr>
        <w:t xml:space="preserve">До Прогнозу додаються: </w:t>
      </w:r>
    </w:p>
    <w:p w:rsidR="00AD1581" w:rsidRPr="00E5580C" w:rsidRDefault="00AD1581" w:rsidP="00AD1581">
      <w:pPr>
        <w:rPr>
          <w:rFonts w:cs="Times New Roman"/>
          <w:szCs w:val="28"/>
        </w:rPr>
      </w:pPr>
      <w:r w:rsidRPr="00E5580C">
        <w:rPr>
          <w:rFonts w:cs="Times New Roman"/>
          <w:szCs w:val="28"/>
        </w:rPr>
        <w:t xml:space="preserve">Додаток 1«Загальні показники бюджету» </w:t>
      </w:r>
    </w:p>
    <w:p w:rsidR="00AD1581" w:rsidRPr="00E5580C" w:rsidRDefault="00AD1581" w:rsidP="00AD1581">
      <w:pPr>
        <w:rPr>
          <w:rFonts w:cs="Times New Roman"/>
          <w:szCs w:val="28"/>
        </w:rPr>
      </w:pPr>
      <w:r w:rsidRPr="00E5580C">
        <w:rPr>
          <w:rFonts w:cs="Times New Roman"/>
          <w:szCs w:val="28"/>
        </w:rPr>
        <w:t xml:space="preserve">Додаток 2 «Показники доходів бюджету» </w:t>
      </w:r>
    </w:p>
    <w:p w:rsidR="00AD1581" w:rsidRPr="00E5580C" w:rsidRDefault="00AD1581" w:rsidP="00AD1581">
      <w:pPr>
        <w:rPr>
          <w:rFonts w:cs="Times New Roman"/>
          <w:szCs w:val="28"/>
        </w:rPr>
      </w:pPr>
      <w:r w:rsidRPr="00E5580C">
        <w:rPr>
          <w:rFonts w:cs="Times New Roman"/>
          <w:szCs w:val="28"/>
        </w:rPr>
        <w:t>Додаток 3 «Показники фінансування бюджету»</w:t>
      </w:r>
    </w:p>
    <w:p w:rsidR="00AD1581" w:rsidRPr="00E5580C" w:rsidRDefault="00AD1581" w:rsidP="00AD1581">
      <w:pPr>
        <w:rPr>
          <w:rFonts w:cs="Times New Roman"/>
          <w:szCs w:val="28"/>
        </w:rPr>
      </w:pPr>
      <w:r w:rsidRPr="00E5580C">
        <w:rPr>
          <w:rFonts w:cs="Times New Roman"/>
          <w:szCs w:val="28"/>
        </w:rPr>
        <w:t xml:space="preserve">Додаток 4 «Показники місцевого боргу» </w:t>
      </w:r>
    </w:p>
    <w:p w:rsidR="00AD1581" w:rsidRPr="00E5580C" w:rsidRDefault="00AD1581" w:rsidP="00AD1581">
      <w:pPr>
        <w:rPr>
          <w:rFonts w:cs="Times New Roman"/>
          <w:szCs w:val="28"/>
        </w:rPr>
      </w:pPr>
      <w:r w:rsidRPr="00E5580C">
        <w:rPr>
          <w:rFonts w:cs="Times New Roman"/>
          <w:szCs w:val="28"/>
        </w:rPr>
        <w:t xml:space="preserve">Додаток 5 «Показники гарантованого Автономною Республікою Крим, обласною радою чи територіальною громадою міста боргу і надання місцевих гарантій»  </w:t>
      </w:r>
    </w:p>
    <w:p w:rsidR="00AD1581" w:rsidRPr="00E5580C" w:rsidRDefault="00AD1581" w:rsidP="00AD1581">
      <w:pPr>
        <w:rPr>
          <w:rFonts w:cs="Times New Roman"/>
          <w:szCs w:val="28"/>
        </w:rPr>
      </w:pPr>
      <w:r w:rsidRPr="00E5580C">
        <w:rPr>
          <w:rFonts w:cs="Times New Roman"/>
          <w:szCs w:val="28"/>
        </w:rPr>
        <w:t xml:space="preserve">Додаток 6 «Граничні показники видатків бюджету та надання кредитів з бюджету головним розпорядникам коштів» </w:t>
      </w:r>
    </w:p>
    <w:p w:rsidR="00AD1581" w:rsidRPr="00E5580C" w:rsidRDefault="00AD1581" w:rsidP="00AD1581">
      <w:pPr>
        <w:rPr>
          <w:rFonts w:cs="Times New Roman"/>
          <w:szCs w:val="28"/>
        </w:rPr>
      </w:pPr>
      <w:r w:rsidRPr="00E5580C">
        <w:rPr>
          <w:rFonts w:cs="Times New Roman"/>
          <w:szCs w:val="28"/>
        </w:rPr>
        <w:t xml:space="preserve">Додаток 7 «Граничні показники видатків бюджету за Типовою програмною класифікацією видатків та кредитування місцевого бюджету» </w:t>
      </w:r>
    </w:p>
    <w:p w:rsidR="00AD1581" w:rsidRPr="00E5580C" w:rsidRDefault="00AD1581" w:rsidP="00AD1581">
      <w:pPr>
        <w:rPr>
          <w:rFonts w:cs="Times New Roman"/>
          <w:szCs w:val="28"/>
        </w:rPr>
      </w:pPr>
      <w:r w:rsidRPr="00E5580C">
        <w:rPr>
          <w:rFonts w:cs="Times New Roman"/>
          <w:szCs w:val="28"/>
        </w:rPr>
        <w:t xml:space="preserve">Додаток 9 «Показники бюджету розвитку» </w:t>
      </w:r>
    </w:p>
    <w:p w:rsidR="00AD1581" w:rsidRPr="00E5580C" w:rsidRDefault="00AD1581" w:rsidP="00AD1581">
      <w:pPr>
        <w:rPr>
          <w:rFonts w:cs="Times New Roman"/>
          <w:szCs w:val="28"/>
        </w:rPr>
      </w:pPr>
      <w:r w:rsidRPr="00E5580C">
        <w:rPr>
          <w:rFonts w:cs="Times New Roman"/>
          <w:szCs w:val="28"/>
        </w:rPr>
        <w:t xml:space="preserve">Додаток 10 «Обсяги капітальних вкладень бюджету у розрізі інвестиційних проектів» </w:t>
      </w:r>
    </w:p>
    <w:p w:rsidR="00AD1581" w:rsidRPr="00E5580C" w:rsidRDefault="00AD1581" w:rsidP="00AD1581">
      <w:pPr>
        <w:rPr>
          <w:rFonts w:cs="Times New Roman"/>
          <w:szCs w:val="28"/>
        </w:rPr>
      </w:pPr>
      <w:r w:rsidRPr="00E5580C">
        <w:rPr>
          <w:rFonts w:cs="Times New Roman"/>
          <w:szCs w:val="28"/>
        </w:rPr>
        <w:t xml:space="preserve">Додаток 11 «Показники міжбюджетних трансфертів з інших бюджетів» </w:t>
      </w:r>
    </w:p>
    <w:p w:rsidR="00AD1581" w:rsidRPr="00E5580C" w:rsidRDefault="00AD1581" w:rsidP="00AD1581">
      <w:pPr>
        <w:rPr>
          <w:rFonts w:cs="Times New Roman"/>
          <w:szCs w:val="28"/>
        </w:rPr>
      </w:pPr>
      <w:r w:rsidRPr="00E5580C">
        <w:rPr>
          <w:rFonts w:cs="Times New Roman"/>
          <w:szCs w:val="28"/>
        </w:rPr>
        <w:t xml:space="preserve">У зв’язку із відсутністю даних не складались: </w:t>
      </w:r>
    </w:p>
    <w:p w:rsidR="00AD1581" w:rsidRPr="00E5580C" w:rsidRDefault="00AD1581" w:rsidP="00AD1581">
      <w:pPr>
        <w:jc w:val="both"/>
        <w:rPr>
          <w:rFonts w:cs="Times New Roman"/>
          <w:szCs w:val="28"/>
        </w:rPr>
      </w:pPr>
      <w:r w:rsidRPr="00E5580C">
        <w:rPr>
          <w:rFonts w:cs="Times New Roman"/>
          <w:szCs w:val="28"/>
        </w:rPr>
        <w:t xml:space="preserve">Додаток 8 «Граничні показники кредитування бюджету за Типовою програмною класифікацією видатків та кредитування місцевого бюджету» </w:t>
      </w:r>
    </w:p>
    <w:p w:rsidR="00E10A0C" w:rsidRDefault="00AD1581" w:rsidP="00AD1581">
      <w:pPr>
        <w:jc w:val="both"/>
        <w:rPr>
          <w:rFonts w:cs="Times New Roman"/>
          <w:szCs w:val="28"/>
        </w:rPr>
      </w:pPr>
      <w:r w:rsidRPr="00E5580C">
        <w:rPr>
          <w:rFonts w:cs="Times New Roman"/>
          <w:szCs w:val="28"/>
        </w:rPr>
        <w:t>Додаток 12 «Показники міжбюджетних трансфертів іншим бюджетам»</w:t>
      </w:r>
      <w:r w:rsidR="00E10A0C">
        <w:rPr>
          <w:rFonts w:cs="Times New Roman"/>
          <w:szCs w:val="28"/>
        </w:rPr>
        <w:t>.</w:t>
      </w:r>
    </w:p>
    <w:p w:rsidR="001F5301" w:rsidRPr="00E5580C" w:rsidRDefault="001F5301" w:rsidP="00AD1581">
      <w:pPr>
        <w:jc w:val="both"/>
        <w:rPr>
          <w:rFonts w:cs="Times New Roman"/>
          <w:szCs w:val="28"/>
        </w:rPr>
      </w:pPr>
      <w:r w:rsidRPr="00E5580C">
        <w:rPr>
          <w:rFonts w:cs="Times New Roman"/>
          <w:szCs w:val="28"/>
        </w:rPr>
        <w:t xml:space="preserve">  </w:t>
      </w:r>
    </w:p>
    <w:p w:rsidR="000F62B2" w:rsidRDefault="00FB5BBD" w:rsidP="00E10A0C">
      <w:pPr>
        <w:spacing w:after="0"/>
        <w:jc w:val="both"/>
        <w:rPr>
          <w:rFonts w:cs="Times New Roman"/>
          <w:b/>
          <w:szCs w:val="28"/>
        </w:rPr>
      </w:pPr>
      <w:r w:rsidRPr="00E5580C">
        <w:rPr>
          <w:rFonts w:cs="Times New Roman"/>
          <w:b/>
          <w:szCs w:val="28"/>
        </w:rPr>
        <w:t xml:space="preserve"> </w:t>
      </w:r>
      <w:r w:rsidR="000F62B2">
        <w:rPr>
          <w:rFonts w:cs="Times New Roman"/>
          <w:b/>
          <w:szCs w:val="28"/>
        </w:rPr>
        <w:t>Керуючий справами (секретар)</w:t>
      </w:r>
    </w:p>
    <w:p w:rsidR="001F5301" w:rsidRPr="000F62B2" w:rsidRDefault="000F62B2" w:rsidP="00E10A0C">
      <w:pPr>
        <w:spacing w:after="0"/>
        <w:jc w:val="both"/>
        <w:rPr>
          <w:rFonts w:cs="Times New Roman"/>
          <w:b/>
          <w:szCs w:val="28"/>
        </w:rPr>
      </w:pPr>
      <w:r>
        <w:rPr>
          <w:rFonts w:cs="Times New Roman"/>
          <w:b/>
          <w:szCs w:val="28"/>
        </w:rPr>
        <w:t xml:space="preserve"> виконавчого комітету                                                 Мар’ян КОВАЛЬСЬКИЙ</w:t>
      </w:r>
    </w:p>
    <w:sectPr w:rsidR="001F5301" w:rsidRPr="000F62B2" w:rsidSect="00620AC0">
      <w:pgSz w:w="11906" w:h="16838"/>
      <w:pgMar w:top="851" w:right="68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IDFont+F2">
    <w:altName w:val="Times New Roman"/>
    <w:panose1 w:val="00000000000000000000"/>
    <w:charset w:val="00"/>
    <w:family w:val="roman"/>
    <w:notTrueType/>
    <w:pitch w:val="default"/>
  </w:font>
  <w:font w:name="PF Square Sans Pro">
    <w:altName w:val="Segoe UI"/>
    <w:charset w:val="CC"/>
    <w:family w:val="auto"/>
    <w:pitch w:val="variable"/>
    <w:sig w:usb0="00000001" w:usb1="5000E0F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FC1"/>
    <w:multiLevelType w:val="hybridMultilevel"/>
    <w:tmpl w:val="C8D88EB0"/>
    <w:lvl w:ilvl="0" w:tplc="231A122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4F5753"/>
    <w:multiLevelType w:val="hybridMultilevel"/>
    <w:tmpl w:val="C30C5FD6"/>
    <w:lvl w:ilvl="0" w:tplc="E79E2C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7252A2">
      <w:start w:val="1"/>
      <w:numFmt w:val="bullet"/>
      <w:lvlText w:val="o"/>
      <w:lvlJc w:val="left"/>
      <w:pPr>
        <w:ind w:left="1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2AD4C0">
      <w:start w:val="1"/>
      <w:numFmt w:val="bullet"/>
      <w:lvlText w:val="▪"/>
      <w:lvlJc w:val="left"/>
      <w:pPr>
        <w:ind w:left="2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008AA2">
      <w:start w:val="1"/>
      <w:numFmt w:val="bullet"/>
      <w:lvlText w:val="•"/>
      <w:lvlJc w:val="left"/>
      <w:pPr>
        <w:ind w:left="2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B6915C">
      <w:start w:val="1"/>
      <w:numFmt w:val="bullet"/>
      <w:lvlText w:val="o"/>
      <w:lvlJc w:val="left"/>
      <w:pPr>
        <w:ind w:left="3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28D6A">
      <w:start w:val="1"/>
      <w:numFmt w:val="bullet"/>
      <w:lvlText w:val="▪"/>
      <w:lvlJc w:val="left"/>
      <w:pPr>
        <w:ind w:left="4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18141E">
      <w:start w:val="1"/>
      <w:numFmt w:val="bullet"/>
      <w:lvlText w:val="•"/>
      <w:lvlJc w:val="left"/>
      <w:pPr>
        <w:ind w:left="5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5CE4D8">
      <w:start w:val="1"/>
      <w:numFmt w:val="bullet"/>
      <w:lvlText w:val="o"/>
      <w:lvlJc w:val="left"/>
      <w:pPr>
        <w:ind w:left="5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96955C">
      <w:start w:val="1"/>
      <w:numFmt w:val="bullet"/>
      <w:lvlText w:val="▪"/>
      <w:lvlJc w:val="left"/>
      <w:pPr>
        <w:ind w:left="6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2A4EB8"/>
    <w:multiLevelType w:val="hybridMultilevel"/>
    <w:tmpl w:val="9B9C4644"/>
    <w:lvl w:ilvl="0" w:tplc="040CB53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08914F8"/>
    <w:multiLevelType w:val="multilevel"/>
    <w:tmpl w:val="34842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110DF0"/>
    <w:multiLevelType w:val="hybridMultilevel"/>
    <w:tmpl w:val="676AA75A"/>
    <w:lvl w:ilvl="0" w:tplc="C59203A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0824FCE"/>
    <w:multiLevelType w:val="hybridMultilevel"/>
    <w:tmpl w:val="78A60840"/>
    <w:lvl w:ilvl="0" w:tplc="1E2CC9F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72438FD"/>
    <w:multiLevelType w:val="hybridMultilevel"/>
    <w:tmpl w:val="E0C6AADA"/>
    <w:lvl w:ilvl="0" w:tplc="112079B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2A6236EB"/>
    <w:multiLevelType w:val="hybridMultilevel"/>
    <w:tmpl w:val="1DA22FFC"/>
    <w:lvl w:ilvl="0" w:tplc="F070853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D961E47"/>
    <w:multiLevelType w:val="hybridMultilevel"/>
    <w:tmpl w:val="5A9EF912"/>
    <w:lvl w:ilvl="0" w:tplc="8B9A20C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77C46A0"/>
    <w:multiLevelType w:val="hybridMultilevel"/>
    <w:tmpl w:val="403CB01E"/>
    <w:lvl w:ilvl="0" w:tplc="F4142CD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95D5E74"/>
    <w:multiLevelType w:val="hybridMultilevel"/>
    <w:tmpl w:val="9ADA421C"/>
    <w:lvl w:ilvl="0" w:tplc="186EA3F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1064DEF"/>
    <w:multiLevelType w:val="hybridMultilevel"/>
    <w:tmpl w:val="2DDE0F98"/>
    <w:lvl w:ilvl="0" w:tplc="B80E877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79F618D"/>
    <w:multiLevelType w:val="hybridMultilevel"/>
    <w:tmpl w:val="06F8A90A"/>
    <w:lvl w:ilvl="0" w:tplc="31B8D14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D7F3F29"/>
    <w:multiLevelType w:val="multilevel"/>
    <w:tmpl w:val="808E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504426"/>
    <w:multiLevelType w:val="hybridMultilevel"/>
    <w:tmpl w:val="C4AE0180"/>
    <w:lvl w:ilvl="0" w:tplc="1EB4279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83E3656"/>
    <w:multiLevelType w:val="hybridMultilevel"/>
    <w:tmpl w:val="D7627F5E"/>
    <w:lvl w:ilvl="0" w:tplc="21785DB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ADE756F"/>
    <w:multiLevelType w:val="hybridMultilevel"/>
    <w:tmpl w:val="9B7C925A"/>
    <w:lvl w:ilvl="0" w:tplc="8800DD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B8A2BAA"/>
    <w:multiLevelType w:val="hybridMultilevel"/>
    <w:tmpl w:val="2A927364"/>
    <w:lvl w:ilvl="0" w:tplc="F7D42AF4">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3"/>
  </w:num>
  <w:num w:numId="2">
    <w:abstractNumId w:val="3"/>
  </w:num>
  <w:num w:numId="3">
    <w:abstractNumId w:val="8"/>
  </w:num>
  <w:num w:numId="4">
    <w:abstractNumId w:val="12"/>
  </w:num>
  <w:num w:numId="5">
    <w:abstractNumId w:val="0"/>
  </w:num>
  <w:num w:numId="6">
    <w:abstractNumId w:val="2"/>
  </w:num>
  <w:num w:numId="7">
    <w:abstractNumId w:val="14"/>
  </w:num>
  <w:num w:numId="8">
    <w:abstractNumId w:val="16"/>
  </w:num>
  <w:num w:numId="9">
    <w:abstractNumId w:val="15"/>
  </w:num>
  <w:num w:numId="10">
    <w:abstractNumId w:val="9"/>
  </w:num>
  <w:num w:numId="11">
    <w:abstractNumId w:val="4"/>
  </w:num>
  <w:num w:numId="12">
    <w:abstractNumId w:val="7"/>
  </w:num>
  <w:num w:numId="13">
    <w:abstractNumId w:val="10"/>
  </w:num>
  <w:num w:numId="14">
    <w:abstractNumId w:val="11"/>
  </w:num>
  <w:num w:numId="15">
    <w:abstractNumId w:val="5"/>
  </w:num>
  <w:num w:numId="16">
    <w:abstractNumId w:val="17"/>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D6"/>
    <w:rsid w:val="00001AF6"/>
    <w:rsid w:val="000068C3"/>
    <w:rsid w:val="000259FF"/>
    <w:rsid w:val="000463FF"/>
    <w:rsid w:val="000536A1"/>
    <w:rsid w:val="00062F8D"/>
    <w:rsid w:val="00076BD6"/>
    <w:rsid w:val="00077184"/>
    <w:rsid w:val="000F62B2"/>
    <w:rsid w:val="00110C65"/>
    <w:rsid w:val="001661D7"/>
    <w:rsid w:val="00185657"/>
    <w:rsid w:val="001A4C43"/>
    <w:rsid w:val="001C1607"/>
    <w:rsid w:val="001C1DA2"/>
    <w:rsid w:val="001F437E"/>
    <w:rsid w:val="001F5301"/>
    <w:rsid w:val="0025286E"/>
    <w:rsid w:val="00257805"/>
    <w:rsid w:val="00263EA2"/>
    <w:rsid w:val="00287826"/>
    <w:rsid w:val="002933FB"/>
    <w:rsid w:val="002E2435"/>
    <w:rsid w:val="00311B2E"/>
    <w:rsid w:val="00345517"/>
    <w:rsid w:val="003517FF"/>
    <w:rsid w:val="00361316"/>
    <w:rsid w:val="0037072E"/>
    <w:rsid w:val="00380FAA"/>
    <w:rsid w:val="003828A2"/>
    <w:rsid w:val="003C05B6"/>
    <w:rsid w:val="0041563F"/>
    <w:rsid w:val="00420CA5"/>
    <w:rsid w:val="00425F87"/>
    <w:rsid w:val="00450903"/>
    <w:rsid w:val="00490BE8"/>
    <w:rsid w:val="00492E6B"/>
    <w:rsid w:val="004D0199"/>
    <w:rsid w:val="004E1005"/>
    <w:rsid w:val="00501D40"/>
    <w:rsid w:val="00524713"/>
    <w:rsid w:val="00541B19"/>
    <w:rsid w:val="00555B75"/>
    <w:rsid w:val="00566C22"/>
    <w:rsid w:val="00576734"/>
    <w:rsid w:val="0059712C"/>
    <w:rsid w:val="005E0D96"/>
    <w:rsid w:val="00620AC0"/>
    <w:rsid w:val="00636F76"/>
    <w:rsid w:val="006556A4"/>
    <w:rsid w:val="006840B9"/>
    <w:rsid w:val="006B4C0C"/>
    <w:rsid w:val="006D5E23"/>
    <w:rsid w:val="0072318B"/>
    <w:rsid w:val="00731944"/>
    <w:rsid w:val="007B70F8"/>
    <w:rsid w:val="007F253F"/>
    <w:rsid w:val="007F69EF"/>
    <w:rsid w:val="00842561"/>
    <w:rsid w:val="00863915"/>
    <w:rsid w:val="008A79FD"/>
    <w:rsid w:val="008B65F7"/>
    <w:rsid w:val="008C5CA0"/>
    <w:rsid w:val="00906F87"/>
    <w:rsid w:val="009319D7"/>
    <w:rsid w:val="00957B07"/>
    <w:rsid w:val="00981781"/>
    <w:rsid w:val="009A6EEB"/>
    <w:rsid w:val="009D7EA1"/>
    <w:rsid w:val="009F1CCA"/>
    <w:rsid w:val="00A04481"/>
    <w:rsid w:val="00A7479B"/>
    <w:rsid w:val="00AC7EB8"/>
    <w:rsid w:val="00AD11BC"/>
    <w:rsid w:val="00AD1581"/>
    <w:rsid w:val="00AD31FC"/>
    <w:rsid w:val="00AD5E96"/>
    <w:rsid w:val="00B4088C"/>
    <w:rsid w:val="00BF2255"/>
    <w:rsid w:val="00BF7FB2"/>
    <w:rsid w:val="00C616DB"/>
    <w:rsid w:val="00C877CF"/>
    <w:rsid w:val="00C903A3"/>
    <w:rsid w:val="00CC4B5B"/>
    <w:rsid w:val="00CC7594"/>
    <w:rsid w:val="00D00B0C"/>
    <w:rsid w:val="00D05019"/>
    <w:rsid w:val="00D25305"/>
    <w:rsid w:val="00D55F0D"/>
    <w:rsid w:val="00DC15D3"/>
    <w:rsid w:val="00DE3F96"/>
    <w:rsid w:val="00DF3060"/>
    <w:rsid w:val="00DF5047"/>
    <w:rsid w:val="00DF588C"/>
    <w:rsid w:val="00E05C35"/>
    <w:rsid w:val="00E10A0C"/>
    <w:rsid w:val="00E122AB"/>
    <w:rsid w:val="00E47261"/>
    <w:rsid w:val="00E5580C"/>
    <w:rsid w:val="00EA0611"/>
    <w:rsid w:val="00EB09CB"/>
    <w:rsid w:val="00EB6DA3"/>
    <w:rsid w:val="00EE3160"/>
    <w:rsid w:val="00EE7FED"/>
    <w:rsid w:val="00EF3902"/>
    <w:rsid w:val="00F07DE2"/>
    <w:rsid w:val="00F36656"/>
    <w:rsid w:val="00F45417"/>
    <w:rsid w:val="00F577E1"/>
    <w:rsid w:val="00F81B91"/>
    <w:rsid w:val="00F82A92"/>
    <w:rsid w:val="00FB5BBD"/>
    <w:rsid w:val="00FB7DCE"/>
    <w:rsid w:val="00FD3FEB"/>
    <w:rsid w:val="00FF26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607"/>
    <w:rPr>
      <w:rFonts w:ascii="Times New Roman" w:hAnsi="Times New Roman"/>
      <w:sz w:val="28"/>
    </w:rPr>
  </w:style>
  <w:style w:type="paragraph" w:styleId="1">
    <w:name w:val="heading 1"/>
    <w:basedOn w:val="a"/>
    <w:next w:val="a"/>
    <w:link w:val="10"/>
    <w:uiPriority w:val="9"/>
    <w:qFormat/>
    <w:rsid w:val="00F577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F577E1"/>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77E1"/>
    <w:rPr>
      <w:rFonts w:ascii="Times New Roman" w:eastAsia="Times New Roman" w:hAnsi="Times New Roman" w:cs="Times New Roman"/>
      <w:b/>
      <w:bCs/>
      <w:sz w:val="27"/>
      <w:szCs w:val="27"/>
      <w:lang w:eastAsia="uk-UA"/>
    </w:rPr>
  </w:style>
  <w:style w:type="character" w:styleId="a3">
    <w:name w:val="Strong"/>
    <w:basedOn w:val="a0"/>
    <w:uiPriority w:val="22"/>
    <w:qFormat/>
    <w:rsid w:val="00F577E1"/>
    <w:rPr>
      <w:b/>
      <w:bCs/>
    </w:rPr>
  </w:style>
  <w:style w:type="paragraph" w:styleId="a4">
    <w:name w:val="Normal (Web)"/>
    <w:basedOn w:val="a"/>
    <w:uiPriority w:val="99"/>
    <w:semiHidden/>
    <w:unhideWhenUsed/>
    <w:rsid w:val="00F577E1"/>
    <w:pPr>
      <w:spacing w:before="100" w:beforeAutospacing="1" w:after="100" w:afterAutospacing="1" w:line="240" w:lineRule="auto"/>
    </w:pPr>
    <w:rPr>
      <w:rFonts w:eastAsia="Times New Roman" w:cs="Times New Roman"/>
      <w:sz w:val="24"/>
      <w:szCs w:val="24"/>
      <w:lang w:eastAsia="uk-UA"/>
    </w:rPr>
  </w:style>
  <w:style w:type="paragraph" w:styleId="a5">
    <w:name w:val="List Paragraph"/>
    <w:basedOn w:val="a"/>
    <w:uiPriority w:val="34"/>
    <w:qFormat/>
    <w:rsid w:val="00F577E1"/>
    <w:pPr>
      <w:ind w:left="720"/>
      <w:contextualSpacing/>
    </w:pPr>
  </w:style>
  <w:style w:type="character" w:customStyle="1" w:styleId="10">
    <w:name w:val="Заголовок 1 Знак"/>
    <w:basedOn w:val="a0"/>
    <w:link w:val="1"/>
    <w:uiPriority w:val="9"/>
    <w:rsid w:val="00F577E1"/>
    <w:rPr>
      <w:rFonts w:asciiTheme="majorHAnsi" w:eastAsiaTheme="majorEastAsia" w:hAnsiTheme="majorHAnsi" w:cstheme="majorBidi"/>
      <w:color w:val="2E74B5" w:themeColor="accent1" w:themeShade="BF"/>
      <w:sz w:val="32"/>
      <w:szCs w:val="32"/>
    </w:rPr>
  </w:style>
  <w:style w:type="paragraph" w:styleId="a6">
    <w:name w:val="Balloon Text"/>
    <w:basedOn w:val="a"/>
    <w:link w:val="a7"/>
    <w:uiPriority w:val="99"/>
    <w:semiHidden/>
    <w:unhideWhenUsed/>
    <w:rsid w:val="00D25305"/>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D25305"/>
    <w:rPr>
      <w:rFonts w:ascii="Segoe UI" w:hAnsi="Segoe UI" w:cs="Segoe UI"/>
      <w:sz w:val="18"/>
      <w:szCs w:val="18"/>
    </w:rPr>
  </w:style>
  <w:style w:type="paragraph" w:styleId="a8">
    <w:name w:val="Body Text Indent"/>
    <w:basedOn w:val="a"/>
    <w:link w:val="a9"/>
    <w:rsid w:val="003828A2"/>
    <w:pPr>
      <w:suppressAutoHyphens/>
      <w:spacing w:after="120" w:line="240" w:lineRule="auto"/>
      <w:ind w:left="283"/>
    </w:pPr>
    <w:rPr>
      <w:rFonts w:eastAsia="Times New Roman" w:cs="Times New Roman"/>
      <w:sz w:val="24"/>
      <w:szCs w:val="24"/>
      <w:lang w:eastAsia="zh-CN"/>
    </w:rPr>
  </w:style>
  <w:style w:type="character" w:customStyle="1" w:styleId="a9">
    <w:name w:val="Основний текст з відступом Знак"/>
    <w:basedOn w:val="a0"/>
    <w:link w:val="a8"/>
    <w:rsid w:val="003828A2"/>
    <w:rPr>
      <w:rFonts w:ascii="Times New Roman" w:eastAsia="Times New Roman" w:hAnsi="Times New Roman" w:cs="Times New Roman"/>
      <w:sz w:val="24"/>
      <w:szCs w:val="24"/>
      <w:lang w:eastAsia="zh-CN"/>
    </w:rPr>
  </w:style>
  <w:style w:type="table" w:styleId="aa">
    <w:name w:val="Table Grid"/>
    <w:basedOn w:val="a1"/>
    <w:uiPriority w:val="39"/>
    <w:rsid w:val="00931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rsid w:val="00620AC0"/>
    <w:pPr>
      <w:widowControl w:val="0"/>
      <w:suppressAutoHyphens/>
      <w:spacing w:before="240" w:after="0" w:line="300" w:lineRule="auto"/>
      <w:ind w:firstLine="700"/>
      <w:jc w:val="both"/>
    </w:pPr>
    <w:rPr>
      <w:rFonts w:ascii="Courier New" w:eastAsia="Times New Roman" w:hAnsi="Courier New" w:cs="Courier New"/>
      <w:szCs w:val="20"/>
      <w:lang w:eastAsia="zh-CN"/>
    </w:rPr>
  </w:style>
  <w:style w:type="paragraph" w:customStyle="1" w:styleId="Default">
    <w:name w:val="Default"/>
    <w:rsid w:val="00620AC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2">
    <w:name w:val="Основной шрифт абзаца2"/>
    <w:rsid w:val="001F5301"/>
  </w:style>
  <w:style w:type="paragraph" w:customStyle="1" w:styleId="11">
    <w:name w:val="Абзац списку1"/>
    <w:basedOn w:val="a"/>
    <w:uiPriority w:val="34"/>
    <w:qFormat/>
    <w:rsid w:val="001F5301"/>
    <w:pPr>
      <w:spacing w:after="0" w:line="240" w:lineRule="auto"/>
      <w:ind w:left="708"/>
    </w:pPr>
    <w:rPr>
      <w:rFonts w:eastAsia="Times New Roman" w:cs="Times New Roman"/>
      <w:sz w:val="24"/>
      <w:szCs w:val="24"/>
      <w:lang w:val="ru-RU" w:eastAsia="ru-RU"/>
    </w:rPr>
  </w:style>
  <w:style w:type="character" w:customStyle="1" w:styleId="fontstyle01">
    <w:name w:val="fontstyle01"/>
    <w:rsid w:val="001F5301"/>
    <w:rPr>
      <w:rFonts w:ascii="CIDFont+F2" w:hAnsi="CIDFont+F2" w:hint="default"/>
      <w:b w:val="0"/>
      <w:bCs w:val="0"/>
      <w:i w:val="0"/>
      <w:iCs w:val="0"/>
      <w:color w:val="000000"/>
      <w:sz w:val="28"/>
      <w:szCs w:val="28"/>
    </w:rPr>
  </w:style>
  <w:style w:type="paragraph" w:styleId="ab">
    <w:name w:val="No Spacing"/>
    <w:uiPriority w:val="1"/>
    <w:qFormat/>
    <w:rsid w:val="00062F8D"/>
    <w:pPr>
      <w:spacing w:after="0" w:line="240" w:lineRule="auto"/>
    </w:pPr>
  </w:style>
  <w:style w:type="paragraph" w:customStyle="1" w:styleId="Style1">
    <w:name w:val="Style1"/>
    <w:basedOn w:val="a"/>
    <w:next w:val="a"/>
    <w:qFormat/>
    <w:rsid w:val="00062F8D"/>
    <w:pPr>
      <w:tabs>
        <w:tab w:val="left" w:pos="425"/>
        <w:tab w:val="left" w:pos="993"/>
      </w:tabs>
      <w:spacing w:after="0" w:line="240" w:lineRule="auto"/>
      <w:ind w:firstLine="426"/>
      <w:jc w:val="both"/>
    </w:pPr>
    <w:rPr>
      <w:rFonts w:ascii="PF Square Sans Pro" w:hAnsi="PF Square Sans Pr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607"/>
    <w:rPr>
      <w:rFonts w:ascii="Times New Roman" w:hAnsi="Times New Roman"/>
      <w:sz w:val="28"/>
    </w:rPr>
  </w:style>
  <w:style w:type="paragraph" w:styleId="1">
    <w:name w:val="heading 1"/>
    <w:basedOn w:val="a"/>
    <w:next w:val="a"/>
    <w:link w:val="10"/>
    <w:uiPriority w:val="9"/>
    <w:qFormat/>
    <w:rsid w:val="00F577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F577E1"/>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77E1"/>
    <w:rPr>
      <w:rFonts w:ascii="Times New Roman" w:eastAsia="Times New Roman" w:hAnsi="Times New Roman" w:cs="Times New Roman"/>
      <w:b/>
      <w:bCs/>
      <w:sz w:val="27"/>
      <w:szCs w:val="27"/>
      <w:lang w:eastAsia="uk-UA"/>
    </w:rPr>
  </w:style>
  <w:style w:type="character" w:styleId="a3">
    <w:name w:val="Strong"/>
    <w:basedOn w:val="a0"/>
    <w:uiPriority w:val="22"/>
    <w:qFormat/>
    <w:rsid w:val="00F577E1"/>
    <w:rPr>
      <w:b/>
      <w:bCs/>
    </w:rPr>
  </w:style>
  <w:style w:type="paragraph" w:styleId="a4">
    <w:name w:val="Normal (Web)"/>
    <w:basedOn w:val="a"/>
    <w:uiPriority w:val="99"/>
    <w:semiHidden/>
    <w:unhideWhenUsed/>
    <w:rsid w:val="00F577E1"/>
    <w:pPr>
      <w:spacing w:before="100" w:beforeAutospacing="1" w:after="100" w:afterAutospacing="1" w:line="240" w:lineRule="auto"/>
    </w:pPr>
    <w:rPr>
      <w:rFonts w:eastAsia="Times New Roman" w:cs="Times New Roman"/>
      <w:sz w:val="24"/>
      <w:szCs w:val="24"/>
      <w:lang w:eastAsia="uk-UA"/>
    </w:rPr>
  </w:style>
  <w:style w:type="paragraph" w:styleId="a5">
    <w:name w:val="List Paragraph"/>
    <w:basedOn w:val="a"/>
    <w:uiPriority w:val="34"/>
    <w:qFormat/>
    <w:rsid w:val="00F577E1"/>
    <w:pPr>
      <w:ind w:left="720"/>
      <w:contextualSpacing/>
    </w:pPr>
  </w:style>
  <w:style w:type="character" w:customStyle="1" w:styleId="10">
    <w:name w:val="Заголовок 1 Знак"/>
    <w:basedOn w:val="a0"/>
    <w:link w:val="1"/>
    <w:uiPriority w:val="9"/>
    <w:rsid w:val="00F577E1"/>
    <w:rPr>
      <w:rFonts w:asciiTheme="majorHAnsi" w:eastAsiaTheme="majorEastAsia" w:hAnsiTheme="majorHAnsi" w:cstheme="majorBidi"/>
      <w:color w:val="2E74B5" w:themeColor="accent1" w:themeShade="BF"/>
      <w:sz w:val="32"/>
      <w:szCs w:val="32"/>
    </w:rPr>
  </w:style>
  <w:style w:type="paragraph" w:styleId="a6">
    <w:name w:val="Balloon Text"/>
    <w:basedOn w:val="a"/>
    <w:link w:val="a7"/>
    <w:uiPriority w:val="99"/>
    <w:semiHidden/>
    <w:unhideWhenUsed/>
    <w:rsid w:val="00D25305"/>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D25305"/>
    <w:rPr>
      <w:rFonts w:ascii="Segoe UI" w:hAnsi="Segoe UI" w:cs="Segoe UI"/>
      <w:sz w:val="18"/>
      <w:szCs w:val="18"/>
    </w:rPr>
  </w:style>
  <w:style w:type="paragraph" w:styleId="a8">
    <w:name w:val="Body Text Indent"/>
    <w:basedOn w:val="a"/>
    <w:link w:val="a9"/>
    <w:rsid w:val="003828A2"/>
    <w:pPr>
      <w:suppressAutoHyphens/>
      <w:spacing w:after="120" w:line="240" w:lineRule="auto"/>
      <w:ind w:left="283"/>
    </w:pPr>
    <w:rPr>
      <w:rFonts w:eastAsia="Times New Roman" w:cs="Times New Roman"/>
      <w:sz w:val="24"/>
      <w:szCs w:val="24"/>
      <w:lang w:eastAsia="zh-CN"/>
    </w:rPr>
  </w:style>
  <w:style w:type="character" w:customStyle="1" w:styleId="a9">
    <w:name w:val="Основний текст з відступом Знак"/>
    <w:basedOn w:val="a0"/>
    <w:link w:val="a8"/>
    <w:rsid w:val="003828A2"/>
    <w:rPr>
      <w:rFonts w:ascii="Times New Roman" w:eastAsia="Times New Roman" w:hAnsi="Times New Roman" w:cs="Times New Roman"/>
      <w:sz w:val="24"/>
      <w:szCs w:val="24"/>
      <w:lang w:eastAsia="zh-CN"/>
    </w:rPr>
  </w:style>
  <w:style w:type="table" w:styleId="aa">
    <w:name w:val="Table Grid"/>
    <w:basedOn w:val="a1"/>
    <w:uiPriority w:val="39"/>
    <w:rsid w:val="00931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rsid w:val="00620AC0"/>
    <w:pPr>
      <w:widowControl w:val="0"/>
      <w:suppressAutoHyphens/>
      <w:spacing w:before="240" w:after="0" w:line="300" w:lineRule="auto"/>
      <w:ind w:firstLine="700"/>
      <w:jc w:val="both"/>
    </w:pPr>
    <w:rPr>
      <w:rFonts w:ascii="Courier New" w:eastAsia="Times New Roman" w:hAnsi="Courier New" w:cs="Courier New"/>
      <w:szCs w:val="20"/>
      <w:lang w:eastAsia="zh-CN"/>
    </w:rPr>
  </w:style>
  <w:style w:type="paragraph" w:customStyle="1" w:styleId="Default">
    <w:name w:val="Default"/>
    <w:rsid w:val="00620AC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2">
    <w:name w:val="Основной шрифт абзаца2"/>
    <w:rsid w:val="001F5301"/>
  </w:style>
  <w:style w:type="paragraph" w:customStyle="1" w:styleId="11">
    <w:name w:val="Абзац списку1"/>
    <w:basedOn w:val="a"/>
    <w:uiPriority w:val="34"/>
    <w:qFormat/>
    <w:rsid w:val="001F5301"/>
    <w:pPr>
      <w:spacing w:after="0" w:line="240" w:lineRule="auto"/>
      <w:ind w:left="708"/>
    </w:pPr>
    <w:rPr>
      <w:rFonts w:eastAsia="Times New Roman" w:cs="Times New Roman"/>
      <w:sz w:val="24"/>
      <w:szCs w:val="24"/>
      <w:lang w:val="ru-RU" w:eastAsia="ru-RU"/>
    </w:rPr>
  </w:style>
  <w:style w:type="character" w:customStyle="1" w:styleId="fontstyle01">
    <w:name w:val="fontstyle01"/>
    <w:rsid w:val="001F5301"/>
    <w:rPr>
      <w:rFonts w:ascii="CIDFont+F2" w:hAnsi="CIDFont+F2" w:hint="default"/>
      <w:b w:val="0"/>
      <w:bCs w:val="0"/>
      <w:i w:val="0"/>
      <w:iCs w:val="0"/>
      <w:color w:val="000000"/>
      <w:sz w:val="28"/>
      <w:szCs w:val="28"/>
    </w:rPr>
  </w:style>
  <w:style w:type="paragraph" w:styleId="ab">
    <w:name w:val="No Spacing"/>
    <w:uiPriority w:val="1"/>
    <w:qFormat/>
    <w:rsid w:val="00062F8D"/>
    <w:pPr>
      <w:spacing w:after="0" w:line="240" w:lineRule="auto"/>
    </w:pPr>
  </w:style>
  <w:style w:type="paragraph" w:customStyle="1" w:styleId="Style1">
    <w:name w:val="Style1"/>
    <w:basedOn w:val="a"/>
    <w:next w:val="a"/>
    <w:qFormat/>
    <w:rsid w:val="00062F8D"/>
    <w:pPr>
      <w:tabs>
        <w:tab w:val="left" w:pos="425"/>
        <w:tab w:val="left" w:pos="993"/>
      </w:tabs>
      <w:spacing w:after="0" w:line="240" w:lineRule="auto"/>
      <w:ind w:firstLine="426"/>
      <w:jc w:val="both"/>
    </w:pPr>
    <w:rPr>
      <w:rFonts w:ascii="PF Square Sans Pro" w:hAnsi="PF Square Sans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1337">
      <w:bodyDiv w:val="1"/>
      <w:marLeft w:val="0"/>
      <w:marRight w:val="0"/>
      <w:marTop w:val="0"/>
      <w:marBottom w:val="0"/>
      <w:divBdr>
        <w:top w:val="none" w:sz="0" w:space="0" w:color="auto"/>
        <w:left w:val="none" w:sz="0" w:space="0" w:color="auto"/>
        <w:bottom w:val="none" w:sz="0" w:space="0" w:color="auto"/>
        <w:right w:val="none" w:sz="0" w:space="0" w:color="auto"/>
      </w:divBdr>
    </w:div>
    <w:div w:id="261647295">
      <w:bodyDiv w:val="1"/>
      <w:marLeft w:val="0"/>
      <w:marRight w:val="0"/>
      <w:marTop w:val="0"/>
      <w:marBottom w:val="0"/>
      <w:divBdr>
        <w:top w:val="none" w:sz="0" w:space="0" w:color="auto"/>
        <w:left w:val="none" w:sz="0" w:space="0" w:color="auto"/>
        <w:bottom w:val="none" w:sz="0" w:space="0" w:color="auto"/>
        <w:right w:val="none" w:sz="0" w:space="0" w:color="auto"/>
      </w:divBdr>
    </w:div>
    <w:div w:id="839272617">
      <w:bodyDiv w:val="1"/>
      <w:marLeft w:val="0"/>
      <w:marRight w:val="0"/>
      <w:marTop w:val="0"/>
      <w:marBottom w:val="0"/>
      <w:divBdr>
        <w:top w:val="none" w:sz="0" w:space="0" w:color="auto"/>
        <w:left w:val="none" w:sz="0" w:space="0" w:color="auto"/>
        <w:bottom w:val="none" w:sz="0" w:space="0" w:color="auto"/>
        <w:right w:val="none" w:sz="0" w:space="0" w:color="auto"/>
      </w:divBdr>
    </w:div>
    <w:div w:id="1048140041">
      <w:bodyDiv w:val="1"/>
      <w:marLeft w:val="0"/>
      <w:marRight w:val="0"/>
      <w:marTop w:val="0"/>
      <w:marBottom w:val="0"/>
      <w:divBdr>
        <w:top w:val="none" w:sz="0" w:space="0" w:color="auto"/>
        <w:left w:val="none" w:sz="0" w:space="0" w:color="auto"/>
        <w:bottom w:val="none" w:sz="0" w:space="0" w:color="auto"/>
        <w:right w:val="none" w:sz="0" w:space="0" w:color="auto"/>
      </w:divBdr>
      <w:divsChild>
        <w:div w:id="635837330">
          <w:marLeft w:val="0"/>
          <w:marRight w:val="0"/>
          <w:marTop w:val="0"/>
          <w:marBottom w:val="0"/>
          <w:divBdr>
            <w:top w:val="none" w:sz="0" w:space="0" w:color="auto"/>
            <w:left w:val="none" w:sz="0" w:space="0" w:color="auto"/>
            <w:bottom w:val="none" w:sz="0" w:space="0" w:color="auto"/>
            <w:right w:val="none" w:sz="0" w:space="0" w:color="auto"/>
          </w:divBdr>
          <w:divsChild>
            <w:div w:id="17596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20624">
      <w:bodyDiv w:val="1"/>
      <w:marLeft w:val="0"/>
      <w:marRight w:val="0"/>
      <w:marTop w:val="0"/>
      <w:marBottom w:val="0"/>
      <w:divBdr>
        <w:top w:val="none" w:sz="0" w:space="0" w:color="auto"/>
        <w:left w:val="none" w:sz="0" w:space="0" w:color="auto"/>
        <w:bottom w:val="none" w:sz="0" w:space="0" w:color="auto"/>
        <w:right w:val="none" w:sz="0" w:space="0" w:color="auto"/>
      </w:divBdr>
    </w:div>
    <w:div w:id="1102846642">
      <w:bodyDiv w:val="1"/>
      <w:marLeft w:val="0"/>
      <w:marRight w:val="0"/>
      <w:marTop w:val="0"/>
      <w:marBottom w:val="0"/>
      <w:divBdr>
        <w:top w:val="none" w:sz="0" w:space="0" w:color="auto"/>
        <w:left w:val="none" w:sz="0" w:space="0" w:color="auto"/>
        <w:bottom w:val="none" w:sz="0" w:space="0" w:color="auto"/>
        <w:right w:val="none" w:sz="0" w:space="0" w:color="auto"/>
      </w:divBdr>
    </w:div>
    <w:div w:id="1311594687">
      <w:bodyDiv w:val="1"/>
      <w:marLeft w:val="0"/>
      <w:marRight w:val="0"/>
      <w:marTop w:val="0"/>
      <w:marBottom w:val="0"/>
      <w:divBdr>
        <w:top w:val="none" w:sz="0" w:space="0" w:color="auto"/>
        <w:left w:val="none" w:sz="0" w:space="0" w:color="auto"/>
        <w:bottom w:val="none" w:sz="0" w:space="0" w:color="auto"/>
        <w:right w:val="none" w:sz="0" w:space="0" w:color="auto"/>
      </w:divBdr>
    </w:div>
    <w:div w:id="1720126411">
      <w:bodyDiv w:val="1"/>
      <w:marLeft w:val="0"/>
      <w:marRight w:val="0"/>
      <w:marTop w:val="0"/>
      <w:marBottom w:val="0"/>
      <w:divBdr>
        <w:top w:val="none" w:sz="0" w:space="0" w:color="auto"/>
        <w:left w:val="none" w:sz="0" w:space="0" w:color="auto"/>
        <w:bottom w:val="none" w:sz="0" w:space="0" w:color="auto"/>
        <w:right w:val="none" w:sz="0" w:space="0" w:color="auto"/>
      </w:divBdr>
      <w:divsChild>
        <w:div w:id="163321264">
          <w:marLeft w:val="0"/>
          <w:marRight w:val="0"/>
          <w:marTop w:val="0"/>
          <w:marBottom w:val="0"/>
          <w:divBdr>
            <w:top w:val="none" w:sz="0" w:space="0" w:color="auto"/>
            <w:left w:val="none" w:sz="0" w:space="0" w:color="auto"/>
            <w:bottom w:val="none" w:sz="0" w:space="0" w:color="auto"/>
            <w:right w:val="none" w:sz="0" w:space="0" w:color="auto"/>
          </w:divBdr>
        </w:div>
        <w:div w:id="4480803">
          <w:marLeft w:val="0"/>
          <w:marRight w:val="0"/>
          <w:marTop w:val="0"/>
          <w:marBottom w:val="0"/>
          <w:divBdr>
            <w:top w:val="none" w:sz="0" w:space="0" w:color="auto"/>
            <w:left w:val="none" w:sz="0" w:space="0" w:color="auto"/>
            <w:bottom w:val="none" w:sz="0" w:space="0" w:color="auto"/>
            <w:right w:val="none" w:sz="0" w:space="0" w:color="auto"/>
          </w:divBdr>
        </w:div>
      </w:divsChild>
    </w:div>
    <w:div w:id="212241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wikipedia.org/wiki/%D0%9B%D1%96%D1%81%D0%BE%D0%B2%D0%B0_%D0%BF%D1%80%D0%BE%D0%BC%D0%B8%D1%81%D0%BB%D0%BE%D0%B2%D1%96%D1%81%D1%82%D1%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D0350-63AB-4B76-A4C1-1ED3EDEA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20217</Words>
  <Characters>11525</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MARHEVKA</dc:creator>
  <cp:lastModifiedBy>777</cp:lastModifiedBy>
  <cp:revision>2</cp:revision>
  <cp:lastPrinted>2021-08-28T06:17:00Z</cp:lastPrinted>
  <dcterms:created xsi:type="dcterms:W3CDTF">2021-09-28T12:53:00Z</dcterms:created>
  <dcterms:modified xsi:type="dcterms:W3CDTF">2021-09-28T12:53:00Z</dcterms:modified>
</cp:coreProperties>
</file>